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EC" w:rsidRPr="001A5D3C" w:rsidRDefault="001A5D3C" w:rsidP="00EE2785">
      <w:pPr>
        <w:contextualSpacing/>
        <w:rPr>
          <w:b/>
          <w:sz w:val="28"/>
          <w:szCs w:val="28"/>
        </w:rPr>
      </w:pPr>
      <w:bookmarkStart w:id="0" w:name="_GoBack"/>
      <w:bookmarkEnd w:id="0"/>
      <w:r w:rsidRPr="001A5D3C">
        <w:rPr>
          <w:b/>
          <w:sz w:val="28"/>
          <w:szCs w:val="28"/>
        </w:rPr>
        <w:t>S</w:t>
      </w:r>
      <w:r w:rsidR="00EE2785">
        <w:rPr>
          <w:b/>
          <w:sz w:val="28"/>
          <w:szCs w:val="28"/>
        </w:rPr>
        <w:t>ummit</w:t>
      </w:r>
      <w:r>
        <w:rPr>
          <w:rFonts w:ascii="Arial" w:hAnsi="Arial" w:cs="Arial"/>
          <w:b/>
          <w:sz w:val="28"/>
          <w:szCs w:val="28"/>
        </w:rPr>
        <w:t>®</w:t>
      </w:r>
      <w:r w:rsidRPr="001A5D3C">
        <w:rPr>
          <w:b/>
          <w:sz w:val="28"/>
          <w:szCs w:val="28"/>
        </w:rPr>
        <w:t xml:space="preserve"> </w:t>
      </w:r>
      <w:r w:rsidR="00D41BA4">
        <w:rPr>
          <w:b/>
          <w:sz w:val="28"/>
          <w:szCs w:val="28"/>
        </w:rPr>
        <w:t xml:space="preserve">Mosquito </w:t>
      </w:r>
      <w:r w:rsidR="00FA42A3">
        <w:rPr>
          <w:b/>
          <w:sz w:val="28"/>
          <w:szCs w:val="28"/>
        </w:rPr>
        <w:t>Bits</w:t>
      </w:r>
      <w:r w:rsidR="00D41BA4">
        <w:rPr>
          <w:rFonts w:ascii="Arial" w:hAnsi="Arial" w:cs="Arial"/>
          <w:b/>
          <w:sz w:val="28"/>
          <w:szCs w:val="28"/>
        </w:rPr>
        <w:t>®</w:t>
      </w:r>
      <w:r w:rsidR="00D41BA4">
        <w:rPr>
          <w:b/>
          <w:sz w:val="28"/>
          <w:szCs w:val="28"/>
        </w:rPr>
        <w:t xml:space="preserve"> </w:t>
      </w:r>
      <w:r w:rsidR="005A0394">
        <w:rPr>
          <w:b/>
          <w:sz w:val="28"/>
          <w:szCs w:val="28"/>
        </w:rPr>
        <w:t xml:space="preserve">(vers. </w:t>
      </w:r>
      <w:r w:rsidR="007C52B1">
        <w:rPr>
          <w:b/>
          <w:sz w:val="28"/>
          <w:szCs w:val="28"/>
        </w:rPr>
        <w:t>0</w:t>
      </w:r>
      <w:r w:rsidR="00C00139">
        <w:rPr>
          <w:b/>
          <w:sz w:val="28"/>
          <w:szCs w:val="28"/>
        </w:rPr>
        <w:t>3</w:t>
      </w:r>
      <w:r w:rsidR="005A0394">
        <w:rPr>
          <w:b/>
          <w:sz w:val="28"/>
          <w:szCs w:val="28"/>
        </w:rPr>
        <w:t>/</w:t>
      </w:r>
      <w:r w:rsidR="00C00139">
        <w:rPr>
          <w:b/>
          <w:sz w:val="28"/>
          <w:szCs w:val="28"/>
        </w:rPr>
        <w:t>06</w:t>
      </w:r>
      <w:r w:rsidR="005A0394">
        <w:rPr>
          <w:b/>
          <w:sz w:val="28"/>
          <w:szCs w:val="28"/>
        </w:rPr>
        <w:t>/201</w:t>
      </w:r>
      <w:r w:rsidR="00C00139">
        <w:rPr>
          <w:b/>
          <w:sz w:val="28"/>
          <w:szCs w:val="28"/>
        </w:rPr>
        <w:t>8</w:t>
      </w:r>
      <w:r w:rsidR="005A0394">
        <w:rPr>
          <w:b/>
          <w:sz w:val="28"/>
          <w:szCs w:val="28"/>
        </w:rPr>
        <w:t>)</w:t>
      </w:r>
    </w:p>
    <w:p w:rsidR="001A5D3C" w:rsidRPr="001A5D3C" w:rsidRDefault="001A5D3C" w:rsidP="00EE2785">
      <w:pPr>
        <w:contextualSpacing/>
        <w:rPr>
          <w:sz w:val="24"/>
          <w:szCs w:val="24"/>
        </w:rPr>
      </w:pPr>
      <w:r w:rsidRPr="001A5D3C">
        <w:rPr>
          <w:sz w:val="24"/>
          <w:szCs w:val="24"/>
        </w:rPr>
        <w:t>Safety Data Sheet</w:t>
      </w:r>
      <w:r w:rsidR="005A0394">
        <w:rPr>
          <w:sz w:val="24"/>
          <w:szCs w:val="24"/>
        </w:rPr>
        <w:t xml:space="preserve"> </w:t>
      </w:r>
    </w:p>
    <w:p w:rsidR="001A5D3C" w:rsidRPr="001A5D3C" w:rsidRDefault="001A5D3C" w:rsidP="00EE2785">
      <w:pPr>
        <w:contextualSpacing/>
        <w:rPr>
          <w:sz w:val="20"/>
          <w:szCs w:val="20"/>
        </w:rPr>
      </w:pPr>
      <w:r w:rsidRPr="001A5D3C">
        <w:rPr>
          <w:sz w:val="20"/>
          <w:szCs w:val="20"/>
        </w:rPr>
        <w:t>According to Federal Register / Vol. 77, No. 58 / Monday March 26 2012 / Rules and Regulations</w:t>
      </w:r>
    </w:p>
    <w:p w:rsidR="00095EEC" w:rsidRDefault="00095EEC">
      <w:pPr>
        <w:rPr>
          <w:b/>
          <w:highlight w:val="red"/>
        </w:rPr>
      </w:pPr>
    </w:p>
    <w:p w:rsidR="00095EEC" w:rsidRDefault="00095EEC">
      <w:pPr>
        <w:rPr>
          <w:b/>
          <w:highlight w:val="red"/>
        </w:rPr>
      </w:pPr>
    </w:p>
    <w:p w:rsidR="00095EEC" w:rsidRDefault="00095EEC">
      <w:pPr>
        <w:rPr>
          <w:b/>
          <w:highlight w:val="red"/>
        </w:rPr>
      </w:pPr>
    </w:p>
    <w:p w:rsidR="003936A9" w:rsidRPr="0063145F" w:rsidRDefault="0063145F">
      <w:pPr>
        <w:rPr>
          <w:b/>
        </w:rPr>
      </w:pPr>
      <w:r w:rsidRPr="0063145F">
        <w:rPr>
          <w:b/>
          <w:highlight w:val="red"/>
        </w:rPr>
        <w:t>SECTION 1 : IDENTIFICATION OF THE SUBSTANCE/MIXTURE AND OF THE COMPANY/UNDERTAKING</w:t>
      </w:r>
    </w:p>
    <w:p w:rsidR="00354041" w:rsidRDefault="0063145F" w:rsidP="00354041">
      <w:pPr>
        <w:pStyle w:val="ListParagraph"/>
        <w:numPr>
          <w:ilvl w:val="1"/>
          <w:numId w:val="1"/>
        </w:numPr>
        <w:rPr>
          <w:b/>
          <w:u w:val="single"/>
        </w:rPr>
      </w:pPr>
      <w:r w:rsidRPr="00354041">
        <w:rPr>
          <w:b/>
          <w:u w:val="single"/>
        </w:rPr>
        <w:t>Product Identifier</w:t>
      </w:r>
    </w:p>
    <w:p w:rsidR="00FA42A3" w:rsidRDefault="0063145F" w:rsidP="00354041">
      <w:pPr>
        <w:spacing w:after="0"/>
        <w:rPr>
          <w:b/>
        </w:rPr>
      </w:pPr>
      <w:r>
        <w:t xml:space="preserve">Product name: </w:t>
      </w:r>
      <w:r w:rsidR="00D41BA4" w:rsidRPr="00D41BA4">
        <w:rPr>
          <w:b/>
        </w:rPr>
        <w:t xml:space="preserve">Summit® Mosquito </w:t>
      </w:r>
      <w:r w:rsidR="00FA42A3">
        <w:rPr>
          <w:b/>
        </w:rPr>
        <w:t>Bits</w:t>
      </w:r>
      <w:r w:rsidR="00D41BA4" w:rsidRPr="00D41BA4">
        <w:rPr>
          <w:b/>
        </w:rPr>
        <w:t>®</w:t>
      </w:r>
      <w:r w:rsidR="00C00139">
        <w:rPr>
          <w:b/>
        </w:rPr>
        <w:t xml:space="preserve"> Summit Bti Granules</w:t>
      </w:r>
      <w:r w:rsidR="00D41BA4" w:rsidRPr="00D41BA4">
        <w:rPr>
          <w:b/>
        </w:rPr>
        <w:t xml:space="preserve"> </w:t>
      </w:r>
    </w:p>
    <w:p w:rsidR="0063145F" w:rsidRDefault="0063145F" w:rsidP="00354041">
      <w:pPr>
        <w:spacing w:after="0"/>
      </w:pPr>
      <w:r>
        <w:t>USEPA Registration No.: 6218-</w:t>
      </w:r>
      <w:r w:rsidR="00C00139">
        <w:t>86</w:t>
      </w:r>
    </w:p>
    <w:p w:rsidR="0063145F" w:rsidRDefault="0063145F" w:rsidP="0063145F">
      <w:pPr>
        <w:pStyle w:val="ListParagraph"/>
        <w:ind w:left="360"/>
      </w:pPr>
    </w:p>
    <w:p w:rsidR="0063145F" w:rsidRPr="00354041" w:rsidRDefault="0063145F" w:rsidP="0063145F">
      <w:pPr>
        <w:pStyle w:val="ListParagraph"/>
        <w:numPr>
          <w:ilvl w:val="1"/>
          <w:numId w:val="1"/>
        </w:numPr>
        <w:rPr>
          <w:b/>
          <w:u w:val="single"/>
        </w:rPr>
      </w:pPr>
      <w:r w:rsidRPr="00354041">
        <w:rPr>
          <w:b/>
          <w:u w:val="single"/>
        </w:rPr>
        <w:t>Relevant identified uses of the substance or mixture and uses advised against</w:t>
      </w:r>
    </w:p>
    <w:p w:rsidR="0063145F" w:rsidRPr="00354041" w:rsidRDefault="0063145F" w:rsidP="0063145F">
      <w:pPr>
        <w:pStyle w:val="ListParagraph"/>
        <w:numPr>
          <w:ilvl w:val="1"/>
          <w:numId w:val="1"/>
        </w:numPr>
        <w:rPr>
          <w:b/>
          <w:u w:val="single"/>
        </w:rPr>
      </w:pPr>
      <w:r w:rsidRPr="00354041">
        <w:rPr>
          <w:b/>
          <w:u w:val="single"/>
        </w:rPr>
        <w:t>Details of the Supplier of the safety data sheet</w:t>
      </w:r>
    </w:p>
    <w:p w:rsidR="0063145F" w:rsidRDefault="0063145F" w:rsidP="0063145F">
      <w:pPr>
        <w:spacing w:after="0"/>
      </w:pPr>
      <w:r>
        <w:t>Summit Chemical Company</w:t>
      </w:r>
    </w:p>
    <w:p w:rsidR="0063145F" w:rsidRDefault="0063145F" w:rsidP="0063145F">
      <w:pPr>
        <w:spacing w:after="0"/>
      </w:pPr>
      <w:r>
        <w:t>235 S. Kresson Street</w:t>
      </w:r>
    </w:p>
    <w:p w:rsidR="0063145F" w:rsidRDefault="0063145F" w:rsidP="0063145F">
      <w:pPr>
        <w:spacing w:after="0"/>
      </w:pPr>
      <w:r>
        <w:t>Baltimore, MD 21224-2616</w:t>
      </w:r>
    </w:p>
    <w:p w:rsidR="0063145F" w:rsidRDefault="0063145F" w:rsidP="0063145F">
      <w:pPr>
        <w:spacing w:after="0"/>
      </w:pPr>
      <w:r>
        <w:t>800-227-8664</w:t>
      </w:r>
    </w:p>
    <w:p w:rsidR="0063145F" w:rsidRDefault="0063145F" w:rsidP="0063145F">
      <w:pPr>
        <w:spacing w:after="0"/>
      </w:pPr>
      <w:r>
        <w:t>Summitchemical.com</w:t>
      </w:r>
    </w:p>
    <w:p w:rsidR="0063145F" w:rsidRDefault="00EE2785" w:rsidP="0063145F">
      <w:pPr>
        <w:spacing w:after="0"/>
      </w:pPr>
      <w:r>
        <w:t>US EPA Establishment No. 6218-MD-2</w:t>
      </w:r>
    </w:p>
    <w:p w:rsidR="0063145F" w:rsidRPr="00354041" w:rsidRDefault="0063145F" w:rsidP="0063145F">
      <w:pPr>
        <w:pStyle w:val="ListParagraph"/>
        <w:numPr>
          <w:ilvl w:val="1"/>
          <w:numId w:val="1"/>
        </w:numPr>
        <w:spacing w:after="0"/>
        <w:rPr>
          <w:b/>
          <w:u w:val="single"/>
        </w:rPr>
      </w:pPr>
      <w:r w:rsidRPr="00354041">
        <w:rPr>
          <w:b/>
          <w:u w:val="single"/>
        </w:rPr>
        <w:t>Emergency Telephone Number</w:t>
      </w:r>
    </w:p>
    <w:p w:rsidR="0063145F" w:rsidRDefault="0063145F" w:rsidP="0063145F">
      <w:pPr>
        <w:spacing w:after="0"/>
        <w:rPr>
          <w:b/>
        </w:rPr>
      </w:pPr>
    </w:p>
    <w:p w:rsidR="0063145F" w:rsidRDefault="00AD2369" w:rsidP="0063145F">
      <w:pPr>
        <w:spacing w:after="0"/>
        <w:rPr>
          <w:b/>
        </w:rPr>
      </w:pPr>
      <w:r>
        <w:rPr>
          <w:b/>
        </w:rPr>
        <w:t>CHEMTEL in the USA:</w:t>
      </w:r>
      <w:r>
        <w:rPr>
          <w:b/>
        </w:rPr>
        <w:tab/>
        <w:t>800-2255-3924</w:t>
      </w:r>
    </w:p>
    <w:p w:rsidR="00AD2369" w:rsidRPr="00AD2369" w:rsidRDefault="00AD2369" w:rsidP="0063145F">
      <w:pPr>
        <w:spacing w:after="0"/>
        <w:rPr>
          <w:b/>
        </w:rPr>
      </w:pPr>
      <w:r>
        <w:rPr>
          <w:b/>
        </w:rPr>
        <w:t>Outside the USA:</w:t>
      </w:r>
      <w:r>
        <w:rPr>
          <w:b/>
        </w:rPr>
        <w:tab/>
        <w:t xml:space="preserve">+01-813-248-0585  </w:t>
      </w:r>
    </w:p>
    <w:p w:rsidR="0063145F" w:rsidRDefault="0063145F" w:rsidP="0063145F">
      <w:pPr>
        <w:spacing w:after="0"/>
      </w:pPr>
    </w:p>
    <w:p w:rsidR="0063145F" w:rsidRPr="00EE2785" w:rsidRDefault="0063145F" w:rsidP="0063145F">
      <w:pPr>
        <w:spacing w:after="0"/>
        <w:rPr>
          <w:b/>
        </w:rPr>
      </w:pPr>
      <w:r w:rsidRPr="00EE2785">
        <w:rPr>
          <w:b/>
          <w:highlight w:val="red"/>
        </w:rPr>
        <w:t>SECTION 2: HAZARDS IDENTIFICATION</w:t>
      </w:r>
      <w:r w:rsidRPr="00EE2785">
        <w:rPr>
          <w:b/>
        </w:rPr>
        <w:t xml:space="preserve">                                                                                                                                        </w:t>
      </w:r>
    </w:p>
    <w:p w:rsidR="0063145F" w:rsidRDefault="0063145F" w:rsidP="0063145F">
      <w:pPr>
        <w:spacing w:after="0"/>
      </w:pPr>
    </w:p>
    <w:p w:rsidR="00354041" w:rsidRPr="00EE2785" w:rsidRDefault="00354041" w:rsidP="0063145F">
      <w:pPr>
        <w:spacing w:after="0"/>
        <w:rPr>
          <w:u w:val="single"/>
        </w:rPr>
      </w:pPr>
      <w:r w:rsidRPr="00EE2785">
        <w:rPr>
          <w:b/>
          <w:u w:val="single"/>
        </w:rPr>
        <w:t xml:space="preserve">2.1 Classification of Substance or Mixture </w:t>
      </w:r>
    </w:p>
    <w:p w:rsidR="00354041" w:rsidRDefault="00354041" w:rsidP="0063145F">
      <w:pPr>
        <w:spacing w:after="0"/>
      </w:pPr>
      <w:r>
        <w:t>Classification (GHS-US)</w:t>
      </w:r>
    </w:p>
    <w:p w:rsidR="00354041" w:rsidRDefault="00354041" w:rsidP="0063145F">
      <w:pPr>
        <w:spacing w:after="0"/>
      </w:pPr>
      <w:r>
        <w:t>Not Classified</w:t>
      </w:r>
    </w:p>
    <w:p w:rsidR="00354041" w:rsidRDefault="00354041" w:rsidP="0063145F">
      <w:pPr>
        <w:spacing w:after="0"/>
      </w:pPr>
    </w:p>
    <w:p w:rsidR="00354041" w:rsidRPr="00EE2785" w:rsidRDefault="00354041" w:rsidP="0063145F">
      <w:pPr>
        <w:spacing w:after="0"/>
        <w:rPr>
          <w:b/>
          <w:u w:val="single"/>
        </w:rPr>
      </w:pPr>
      <w:r w:rsidRPr="00EE2785">
        <w:rPr>
          <w:b/>
          <w:u w:val="single"/>
        </w:rPr>
        <w:t>2.2 Label Elements</w:t>
      </w:r>
    </w:p>
    <w:p w:rsidR="00354041" w:rsidRDefault="00354041" w:rsidP="0063145F">
      <w:pPr>
        <w:spacing w:after="0"/>
      </w:pPr>
      <w:r>
        <w:t>GHS-US Labeling</w:t>
      </w:r>
    </w:p>
    <w:p w:rsidR="00354041" w:rsidRDefault="00354041" w:rsidP="0063145F">
      <w:pPr>
        <w:spacing w:after="0"/>
      </w:pPr>
      <w:r>
        <w:t>No labeling applicable</w:t>
      </w:r>
    </w:p>
    <w:p w:rsidR="00354041" w:rsidRDefault="00354041" w:rsidP="0063145F">
      <w:pPr>
        <w:spacing w:after="0"/>
      </w:pPr>
    </w:p>
    <w:p w:rsidR="00354041" w:rsidRPr="00EE2785" w:rsidRDefault="00354041" w:rsidP="0063145F">
      <w:pPr>
        <w:spacing w:after="0"/>
        <w:rPr>
          <w:u w:val="single"/>
        </w:rPr>
      </w:pPr>
      <w:r w:rsidRPr="00EE2785">
        <w:rPr>
          <w:b/>
          <w:u w:val="single"/>
        </w:rPr>
        <w:t>2.3 Other Hazards</w:t>
      </w:r>
    </w:p>
    <w:p w:rsidR="00354041" w:rsidRDefault="00354041" w:rsidP="0063145F">
      <w:pPr>
        <w:spacing w:after="0"/>
      </w:pPr>
      <w:r>
        <w:t>No additional information available</w:t>
      </w:r>
    </w:p>
    <w:p w:rsidR="00354041" w:rsidRDefault="00354041" w:rsidP="0063145F">
      <w:pPr>
        <w:spacing w:after="0"/>
      </w:pPr>
    </w:p>
    <w:p w:rsidR="00354041" w:rsidRPr="00EE2785" w:rsidRDefault="00354041" w:rsidP="0063145F">
      <w:pPr>
        <w:spacing w:after="0"/>
        <w:rPr>
          <w:u w:val="single"/>
        </w:rPr>
      </w:pPr>
      <w:r w:rsidRPr="00EE2785">
        <w:rPr>
          <w:b/>
          <w:u w:val="single"/>
        </w:rPr>
        <w:t>2.4 Unknown Acute Toxicity</w:t>
      </w:r>
    </w:p>
    <w:p w:rsidR="00354041" w:rsidRDefault="00354041" w:rsidP="0063145F">
      <w:pPr>
        <w:spacing w:after="0"/>
      </w:pPr>
      <w:r>
        <w:t>No Data Available</w:t>
      </w:r>
    </w:p>
    <w:p w:rsidR="00354041" w:rsidRDefault="00354041" w:rsidP="0063145F">
      <w:pPr>
        <w:spacing w:after="0"/>
      </w:pPr>
    </w:p>
    <w:p w:rsidR="00EE2785" w:rsidRDefault="00EE2785" w:rsidP="0063145F">
      <w:pPr>
        <w:spacing w:after="0"/>
        <w:rPr>
          <w:highlight w:val="red"/>
        </w:rPr>
      </w:pPr>
    </w:p>
    <w:p w:rsidR="00EE2785" w:rsidRDefault="00EE2785" w:rsidP="0063145F">
      <w:pPr>
        <w:spacing w:after="0"/>
        <w:rPr>
          <w:highlight w:val="red"/>
        </w:rPr>
      </w:pPr>
    </w:p>
    <w:p w:rsidR="00EE2785" w:rsidRDefault="00EE2785" w:rsidP="0063145F">
      <w:pPr>
        <w:spacing w:after="0"/>
        <w:rPr>
          <w:highlight w:val="red"/>
        </w:rPr>
      </w:pPr>
    </w:p>
    <w:p w:rsidR="0063157B" w:rsidRDefault="0063157B" w:rsidP="0063145F">
      <w:pPr>
        <w:spacing w:after="0"/>
        <w:rPr>
          <w:highlight w:val="red"/>
        </w:rPr>
      </w:pPr>
    </w:p>
    <w:p w:rsidR="00354041" w:rsidRDefault="00354041" w:rsidP="0063145F">
      <w:pPr>
        <w:spacing w:after="0"/>
      </w:pPr>
      <w:r w:rsidRPr="00354041">
        <w:rPr>
          <w:highlight w:val="red"/>
        </w:rPr>
        <w:lastRenderedPageBreak/>
        <w:t>SECTION 3: COMPOSITION/INFORMATION ON INGREDIENTS</w:t>
      </w:r>
    </w:p>
    <w:p w:rsidR="00354041" w:rsidRDefault="00354041" w:rsidP="0063145F">
      <w:pPr>
        <w:spacing w:after="0"/>
      </w:pPr>
      <w:r>
        <w:t>MIXTURE</w:t>
      </w:r>
    </w:p>
    <w:tbl>
      <w:tblPr>
        <w:tblW w:w="2152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987"/>
        <w:gridCol w:w="2863"/>
        <w:gridCol w:w="3113"/>
        <w:gridCol w:w="2987"/>
        <w:gridCol w:w="5975"/>
      </w:tblGrid>
      <w:tr w:rsidR="00354041" w:rsidTr="00354041">
        <w:trPr>
          <w:gridAfter w:val="2"/>
          <w:wAfter w:w="8962" w:type="dxa"/>
          <w:trHeight w:val="368"/>
        </w:trPr>
        <w:tc>
          <w:tcPr>
            <w:tcW w:w="3600" w:type="dxa"/>
          </w:tcPr>
          <w:p w:rsidR="00354041" w:rsidRDefault="00354041" w:rsidP="00354041">
            <w:pPr>
              <w:spacing w:after="0"/>
              <w:ind w:left="15"/>
            </w:pPr>
            <w:r>
              <w:t>NAME</w:t>
            </w:r>
          </w:p>
        </w:tc>
        <w:tc>
          <w:tcPr>
            <w:tcW w:w="2987" w:type="dxa"/>
          </w:tcPr>
          <w:p w:rsidR="00354041" w:rsidRDefault="00354041" w:rsidP="00354041">
            <w:pPr>
              <w:spacing w:after="0"/>
              <w:ind w:left="15"/>
            </w:pPr>
            <w:r>
              <w:t>PRODUCT IDENTIFIER</w:t>
            </w:r>
          </w:p>
        </w:tc>
        <w:tc>
          <w:tcPr>
            <w:tcW w:w="2863" w:type="dxa"/>
          </w:tcPr>
          <w:p w:rsidR="00354041" w:rsidRDefault="00354041" w:rsidP="00354041">
            <w:pPr>
              <w:spacing w:after="0"/>
              <w:ind w:left="15"/>
            </w:pPr>
            <w:r>
              <w:t>%</w:t>
            </w:r>
          </w:p>
        </w:tc>
        <w:tc>
          <w:tcPr>
            <w:tcW w:w="3113" w:type="dxa"/>
          </w:tcPr>
          <w:p w:rsidR="00354041" w:rsidRDefault="00354041" w:rsidP="00354041">
            <w:pPr>
              <w:spacing w:after="0"/>
              <w:ind w:left="15"/>
            </w:pPr>
            <w:r>
              <w:t>CLASSIFICATION</w:t>
            </w:r>
          </w:p>
        </w:tc>
      </w:tr>
      <w:tr w:rsidR="00354041" w:rsidTr="00354041">
        <w:trPr>
          <w:trHeight w:val="350"/>
        </w:trPr>
        <w:tc>
          <w:tcPr>
            <w:tcW w:w="3600" w:type="dxa"/>
          </w:tcPr>
          <w:p w:rsidR="00D41BA4" w:rsidRDefault="00D41BA4" w:rsidP="00D41BA4">
            <w:pPr>
              <w:spacing w:after="0"/>
            </w:pPr>
            <w:r>
              <w:rPr>
                <w:i/>
              </w:rPr>
              <w:t xml:space="preserve">Bacillus thuringiensis </w:t>
            </w:r>
            <w:r>
              <w:t xml:space="preserve">subspecies </w:t>
            </w:r>
            <w:r>
              <w:rPr>
                <w:i/>
              </w:rPr>
              <w:t xml:space="preserve">israelensis </w:t>
            </w:r>
            <w:r>
              <w:t>solids, spores and insecticidal toxins*</w:t>
            </w:r>
          </w:p>
          <w:p w:rsidR="00354041" w:rsidRDefault="00D41BA4" w:rsidP="00D41BA4">
            <w:pPr>
              <w:spacing w:after="0"/>
              <w:ind w:left="15"/>
            </w:pPr>
            <w:r>
              <w:t>7,000 aedes egypti (AA) International Toxic Units (ITU) per mg of primary powder.</w:t>
            </w:r>
          </w:p>
        </w:tc>
        <w:tc>
          <w:tcPr>
            <w:tcW w:w="2987" w:type="dxa"/>
          </w:tcPr>
          <w:p w:rsidR="00354041" w:rsidRPr="00354041" w:rsidRDefault="00D41BA4" w:rsidP="00354041">
            <w:pPr>
              <w:spacing w:after="0"/>
              <w:rPr>
                <w:sz w:val="24"/>
              </w:rPr>
            </w:pPr>
            <w:r>
              <w:t>None: Microbial active ingredient</w:t>
            </w:r>
          </w:p>
        </w:tc>
        <w:tc>
          <w:tcPr>
            <w:tcW w:w="2863" w:type="dxa"/>
          </w:tcPr>
          <w:p w:rsidR="00354041" w:rsidRPr="00354041" w:rsidRDefault="00FA42A3" w:rsidP="00354041">
            <w:pPr>
              <w:spacing w:after="0"/>
              <w:ind w:left="15"/>
              <w:rPr>
                <w:sz w:val="24"/>
              </w:rPr>
            </w:pPr>
            <w:r>
              <w:rPr>
                <w:sz w:val="24"/>
              </w:rPr>
              <w:t>2.85</w:t>
            </w:r>
          </w:p>
        </w:tc>
        <w:tc>
          <w:tcPr>
            <w:tcW w:w="6100" w:type="dxa"/>
            <w:gridSpan w:val="2"/>
          </w:tcPr>
          <w:p w:rsidR="00354041" w:rsidRPr="00354041" w:rsidRDefault="00354041" w:rsidP="00354041">
            <w:pPr>
              <w:spacing w:after="0"/>
              <w:ind w:left="15"/>
              <w:rPr>
                <w:sz w:val="24"/>
              </w:rPr>
            </w:pPr>
            <w:r>
              <w:rPr>
                <w:sz w:val="24"/>
              </w:rPr>
              <w:t>Not classified</w:t>
            </w:r>
          </w:p>
        </w:tc>
        <w:tc>
          <w:tcPr>
            <w:tcW w:w="5975" w:type="dxa"/>
          </w:tcPr>
          <w:p w:rsidR="00354041" w:rsidRPr="00354041" w:rsidRDefault="00354041" w:rsidP="00354041">
            <w:pPr>
              <w:spacing w:after="0"/>
              <w:ind w:left="15"/>
              <w:rPr>
                <w:sz w:val="24"/>
              </w:rPr>
            </w:pPr>
          </w:p>
        </w:tc>
      </w:tr>
      <w:tr w:rsidR="0063157B" w:rsidTr="00354041">
        <w:trPr>
          <w:trHeight w:val="350"/>
        </w:trPr>
        <w:tc>
          <w:tcPr>
            <w:tcW w:w="3600" w:type="dxa"/>
          </w:tcPr>
          <w:p w:rsidR="0063157B" w:rsidRPr="0063157B" w:rsidRDefault="0063157B" w:rsidP="00D41BA4">
            <w:pPr>
              <w:spacing w:after="0"/>
            </w:pPr>
          </w:p>
        </w:tc>
        <w:tc>
          <w:tcPr>
            <w:tcW w:w="2987" w:type="dxa"/>
          </w:tcPr>
          <w:p w:rsidR="0063157B" w:rsidRDefault="0063157B" w:rsidP="00354041">
            <w:pPr>
              <w:spacing w:after="0"/>
            </w:pPr>
            <w:r>
              <w:t>None: Trade Secret</w:t>
            </w:r>
          </w:p>
        </w:tc>
        <w:tc>
          <w:tcPr>
            <w:tcW w:w="2863" w:type="dxa"/>
          </w:tcPr>
          <w:p w:rsidR="0063157B" w:rsidRDefault="0063157B" w:rsidP="00354041">
            <w:pPr>
              <w:spacing w:after="0"/>
              <w:ind w:left="15"/>
              <w:rPr>
                <w:sz w:val="24"/>
              </w:rPr>
            </w:pPr>
            <w:r>
              <w:rPr>
                <w:sz w:val="24"/>
              </w:rPr>
              <w:t>97.15%</w:t>
            </w:r>
          </w:p>
        </w:tc>
        <w:tc>
          <w:tcPr>
            <w:tcW w:w="6100" w:type="dxa"/>
            <w:gridSpan w:val="2"/>
          </w:tcPr>
          <w:p w:rsidR="0063157B" w:rsidRDefault="0063157B" w:rsidP="00354041">
            <w:pPr>
              <w:spacing w:after="0"/>
              <w:ind w:left="15"/>
              <w:rPr>
                <w:sz w:val="24"/>
              </w:rPr>
            </w:pPr>
            <w:r>
              <w:rPr>
                <w:sz w:val="24"/>
              </w:rPr>
              <w:t>Not classified</w:t>
            </w:r>
          </w:p>
        </w:tc>
        <w:tc>
          <w:tcPr>
            <w:tcW w:w="5975" w:type="dxa"/>
          </w:tcPr>
          <w:p w:rsidR="0063157B" w:rsidRPr="00354041" w:rsidRDefault="0063157B" w:rsidP="00354041">
            <w:pPr>
              <w:spacing w:after="0"/>
              <w:ind w:left="15"/>
              <w:rPr>
                <w:sz w:val="24"/>
              </w:rPr>
            </w:pPr>
          </w:p>
        </w:tc>
      </w:tr>
    </w:tbl>
    <w:p w:rsidR="00354041" w:rsidRDefault="00354041" w:rsidP="0063145F">
      <w:pPr>
        <w:spacing w:after="0"/>
      </w:pPr>
    </w:p>
    <w:p w:rsidR="00354041" w:rsidRDefault="00354041" w:rsidP="0063145F">
      <w:pPr>
        <w:spacing w:after="0"/>
      </w:pPr>
      <w:r w:rsidRPr="00095EEC">
        <w:rPr>
          <w:highlight w:val="red"/>
        </w:rPr>
        <w:t>SECTION 4: FIRST AID MEASURES</w:t>
      </w:r>
    </w:p>
    <w:p w:rsidR="00354041" w:rsidRPr="00EE2785" w:rsidRDefault="00354041" w:rsidP="0063145F">
      <w:pPr>
        <w:spacing w:after="0"/>
        <w:rPr>
          <w:b/>
          <w:u w:val="single"/>
        </w:rPr>
      </w:pPr>
      <w:r w:rsidRPr="00EE2785">
        <w:rPr>
          <w:b/>
          <w:u w:val="single"/>
        </w:rPr>
        <w:t>4.1  Description of First Aid Measures</w:t>
      </w:r>
    </w:p>
    <w:p w:rsidR="00095EEC" w:rsidRDefault="00095EEC" w:rsidP="00095EEC">
      <w:pPr>
        <w:spacing w:after="0"/>
      </w:pPr>
      <w:r w:rsidRPr="00095EEC">
        <w:rPr>
          <w:b/>
        </w:rPr>
        <w:t>First Aid Measures General</w:t>
      </w:r>
      <w:r>
        <w:tab/>
      </w:r>
      <w:r>
        <w:tab/>
        <w:t>: Never Give anything by mouth to an unconscious person. If</w:t>
      </w:r>
    </w:p>
    <w:p w:rsidR="00095EEC" w:rsidRDefault="00095EEC" w:rsidP="00095EEC">
      <w:pPr>
        <w:spacing w:after="0"/>
        <w:ind w:left="3600"/>
      </w:pPr>
      <w:r>
        <w:t>You feel unwell, seek medical advice (show the label where possible)</w:t>
      </w:r>
    </w:p>
    <w:p w:rsidR="00354041" w:rsidRDefault="00095EEC" w:rsidP="00095EEC">
      <w:pPr>
        <w:spacing w:after="0"/>
      </w:pPr>
      <w:r w:rsidRPr="00095EEC">
        <w:rPr>
          <w:b/>
        </w:rPr>
        <w:t>First Aid Measures after Inhalation</w:t>
      </w:r>
      <w:r>
        <w:tab/>
        <w:t>: Assure fresh air breathing. Allow the victim to rest.</w:t>
      </w:r>
    </w:p>
    <w:p w:rsidR="00095EEC" w:rsidRDefault="00095EEC" w:rsidP="00095EEC">
      <w:pPr>
        <w:spacing w:after="0"/>
      </w:pPr>
      <w:r w:rsidRPr="00095EEC">
        <w:rPr>
          <w:b/>
        </w:rPr>
        <w:t>First Aid measures after skin contact</w:t>
      </w:r>
      <w:r>
        <w:tab/>
        <w:t>: Remove affected clothing and wash all exposed skin area with</w:t>
      </w:r>
    </w:p>
    <w:p w:rsidR="00095EEC" w:rsidRDefault="00095EEC" w:rsidP="00095EEC">
      <w:pPr>
        <w:spacing w:after="0"/>
        <w:ind w:left="2880" w:firstLine="720"/>
      </w:pPr>
      <w:r>
        <w:t>Mild soap and water, followed by warm water rinse.</w:t>
      </w:r>
    </w:p>
    <w:p w:rsidR="00095EEC" w:rsidRDefault="00095EEC" w:rsidP="00095EEC">
      <w:pPr>
        <w:spacing w:after="0"/>
      </w:pPr>
      <w:r w:rsidRPr="00095EEC">
        <w:rPr>
          <w:b/>
        </w:rPr>
        <w:t>First aid measures after skin contact</w:t>
      </w:r>
      <w:r>
        <w:t xml:space="preserve"> </w:t>
      </w:r>
      <w:r>
        <w:tab/>
        <w:t>: Rinse immediately with plenty of water. Obtain medical</w:t>
      </w:r>
    </w:p>
    <w:p w:rsidR="00095EEC" w:rsidRDefault="00095EEC" w:rsidP="00095EEC">
      <w:pPr>
        <w:spacing w:after="0"/>
        <w:ind w:left="2880" w:firstLine="720"/>
      </w:pPr>
      <w:r>
        <w:t>attention if pain, blinking or redness persist.</w:t>
      </w:r>
    </w:p>
    <w:p w:rsidR="00095EEC" w:rsidRDefault="00095EEC" w:rsidP="00095EEC">
      <w:pPr>
        <w:spacing w:after="0"/>
      </w:pPr>
      <w:r w:rsidRPr="00095EEC">
        <w:rPr>
          <w:b/>
        </w:rPr>
        <w:t>First aid measures after ingestion</w:t>
      </w:r>
      <w:r>
        <w:tab/>
        <w:t>:Rinse mouth. Do NOT induce vomiting. Obtain emergency</w:t>
      </w:r>
    </w:p>
    <w:p w:rsidR="00095EEC" w:rsidRDefault="00095EEC" w:rsidP="00095EEC">
      <w:pPr>
        <w:spacing w:after="0"/>
        <w:ind w:left="2880" w:firstLine="720"/>
      </w:pPr>
      <w:r>
        <w:t>medical attention</w:t>
      </w:r>
    </w:p>
    <w:p w:rsidR="00095EEC" w:rsidRDefault="00095EEC" w:rsidP="00095EEC">
      <w:pPr>
        <w:spacing w:after="0"/>
      </w:pPr>
    </w:p>
    <w:p w:rsidR="00095EEC" w:rsidRPr="00EE2785" w:rsidRDefault="00095EEC" w:rsidP="00095EEC">
      <w:pPr>
        <w:spacing w:after="0"/>
        <w:rPr>
          <w:b/>
          <w:u w:val="single"/>
        </w:rPr>
      </w:pPr>
      <w:r w:rsidRPr="00EE2785">
        <w:rPr>
          <w:b/>
          <w:u w:val="single"/>
        </w:rPr>
        <w:t>4.2 Most Important symptoms and effects, both acute and delayed</w:t>
      </w:r>
    </w:p>
    <w:p w:rsidR="00095EEC" w:rsidRDefault="00095EEC" w:rsidP="00095EEC">
      <w:pPr>
        <w:spacing w:after="0"/>
      </w:pPr>
    </w:p>
    <w:p w:rsidR="00FF4AAC" w:rsidRDefault="00FF4AAC" w:rsidP="00095EEC">
      <w:pPr>
        <w:spacing w:after="0"/>
      </w:pPr>
      <w:r>
        <w:t>Symptoms/injuries</w:t>
      </w:r>
      <w:r>
        <w:tab/>
      </w:r>
      <w:r>
        <w:tab/>
      </w:r>
      <w:r>
        <w:tab/>
        <w:t>: Not expected to present a significant hazard under anticipated</w:t>
      </w:r>
    </w:p>
    <w:p w:rsidR="00FF4AAC" w:rsidRDefault="00FF4AAC" w:rsidP="00FF4AAC">
      <w:pPr>
        <w:spacing w:after="0"/>
        <w:ind w:left="2880" w:firstLine="720"/>
      </w:pPr>
      <w:r>
        <w:t>conditions of normal use.</w:t>
      </w:r>
    </w:p>
    <w:p w:rsidR="00FF4AAC" w:rsidRDefault="00FF4AAC" w:rsidP="00FF4AAC">
      <w:pPr>
        <w:spacing w:after="0"/>
      </w:pPr>
    </w:p>
    <w:p w:rsidR="00FF4AAC" w:rsidRPr="00EE2785" w:rsidRDefault="00FF4AAC" w:rsidP="00FF4AAC">
      <w:pPr>
        <w:spacing w:after="0"/>
        <w:rPr>
          <w:u w:val="single"/>
        </w:rPr>
      </w:pPr>
      <w:r w:rsidRPr="00EE2785">
        <w:rPr>
          <w:b/>
          <w:u w:val="single"/>
        </w:rPr>
        <w:t>4.3 Indication of any immediate medical attention and special treatment needed</w:t>
      </w:r>
    </w:p>
    <w:p w:rsidR="00FF4AAC" w:rsidRDefault="00FF4AAC" w:rsidP="00FF4AAC">
      <w:pPr>
        <w:spacing w:after="0"/>
      </w:pPr>
      <w:r>
        <w:t>No additional information available</w:t>
      </w:r>
    </w:p>
    <w:p w:rsidR="00FF4AAC" w:rsidRDefault="00FF4AAC" w:rsidP="00FF4AAC">
      <w:pPr>
        <w:spacing w:after="0"/>
      </w:pPr>
    </w:p>
    <w:p w:rsidR="00FF4AAC" w:rsidRDefault="00FF4AAC" w:rsidP="00FF4AAC">
      <w:pPr>
        <w:spacing w:after="0"/>
        <w:rPr>
          <w:b/>
        </w:rPr>
      </w:pPr>
      <w:r w:rsidRPr="00FF4AAC">
        <w:rPr>
          <w:b/>
          <w:highlight w:val="red"/>
        </w:rPr>
        <w:t>SECTION 5: FIREFIGHTING MEASURES</w:t>
      </w:r>
    </w:p>
    <w:p w:rsidR="00FF4AAC" w:rsidRPr="00EE2785" w:rsidRDefault="00FF4AAC" w:rsidP="00FF4AAC">
      <w:pPr>
        <w:spacing w:after="0"/>
        <w:rPr>
          <w:b/>
          <w:u w:val="single"/>
        </w:rPr>
      </w:pPr>
      <w:r w:rsidRPr="00EE2785">
        <w:rPr>
          <w:b/>
          <w:u w:val="single"/>
        </w:rPr>
        <w:t>5.1 Extinguishing media</w:t>
      </w:r>
    </w:p>
    <w:p w:rsidR="00095EEC" w:rsidRDefault="00FF4AAC" w:rsidP="00095EEC">
      <w:pPr>
        <w:spacing w:after="0"/>
      </w:pPr>
      <w:r>
        <w:t>Suitable Extinguishing Media</w:t>
      </w:r>
      <w:r>
        <w:tab/>
      </w:r>
      <w:r>
        <w:tab/>
        <w:t>: Foam. Dry powder. Carbon Dioxide. Water Spray. Sand</w:t>
      </w:r>
    </w:p>
    <w:p w:rsidR="00FF4AAC" w:rsidRDefault="00FF4AAC" w:rsidP="00095EEC">
      <w:pPr>
        <w:spacing w:after="0"/>
      </w:pPr>
      <w:r>
        <w:t>Unsuitable Extinguishing Media</w:t>
      </w:r>
      <w:r>
        <w:tab/>
      </w:r>
      <w:r>
        <w:tab/>
        <w:t>: Do not use heavy water stream</w:t>
      </w:r>
    </w:p>
    <w:p w:rsidR="00FF4AAC" w:rsidRPr="00EE2785" w:rsidRDefault="00FF4AAC" w:rsidP="00095EEC">
      <w:pPr>
        <w:spacing w:after="0"/>
        <w:rPr>
          <w:b/>
          <w:u w:val="single"/>
        </w:rPr>
      </w:pPr>
      <w:r w:rsidRPr="00EE2785">
        <w:rPr>
          <w:b/>
          <w:u w:val="single"/>
        </w:rPr>
        <w:t>5.2 Special Hazards Arising from the Substance or Mixture</w:t>
      </w:r>
    </w:p>
    <w:p w:rsidR="00FF4AAC" w:rsidRDefault="00FF4AAC" w:rsidP="00095EEC">
      <w:pPr>
        <w:spacing w:after="0"/>
      </w:pPr>
      <w:r>
        <w:t>No additional information available.</w:t>
      </w:r>
    </w:p>
    <w:p w:rsidR="00FF4AAC" w:rsidRPr="00EE2785" w:rsidRDefault="00FF4AAC" w:rsidP="00095EEC">
      <w:pPr>
        <w:spacing w:after="0"/>
        <w:rPr>
          <w:b/>
          <w:u w:val="single"/>
        </w:rPr>
      </w:pPr>
      <w:r w:rsidRPr="00EE2785">
        <w:rPr>
          <w:b/>
          <w:u w:val="single"/>
        </w:rPr>
        <w:t>5.3 Advice For Firefighters</w:t>
      </w:r>
    </w:p>
    <w:p w:rsidR="00FF4AAC" w:rsidRDefault="00FF4AAC" w:rsidP="00D41BA4">
      <w:pPr>
        <w:spacing w:after="0"/>
      </w:pPr>
      <w:r>
        <w:t>Firefighting instructions</w:t>
      </w:r>
      <w:r>
        <w:tab/>
      </w:r>
      <w:r>
        <w:tab/>
      </w:r>
      <w:r>
        <w:tab/>
      </w:r>
      <w:r w:rsidR="00D41BA4">
        <w:t>:  None</w:t>
      </w:r>
    </w:p>
    <w:p w:rsidR="00FF4AAC" w:rsidRDefault="00FF4AAC" w:rsidP="00FF4AAC">
      <w:pPr>
        <w:spacing w:after="0"/>
      </w:pPr>
      <w:r>
        <w:t>Protection during Firefighting</w:t>
      </w:r>
      <w:r>
        <w:tab/>
      </w:r>
      <w:r>
        <w:tab/>
        <w:t>: Do not enter fire area without proper protective equipment,</w:t>
      </w:r>
    </w:p>
    <w:p w:rsidR="00FF4AAC" w:rsidRDefault="00FF4AAC" w:rsidP="00FF4AAC">
      <w:pPr>
        <w:spacing w:after="0"/>
        <w:ind w:left="2880" w:firstLine="720"/>
      </w:pPr>
      <w:r>
        <w:t>including respiratory protection.</w:t>
      </w:r>
    </w:p>
    <w:p w:rsidR="00FF4AAC" w:rsidRDefault="00FF4AAC" w:rsidP="00FF4AAC">
      <w:pPr>
        <w:spacing w:after="0"/>
      </w:pPr>
    </w:p>
    <w:p w:rsidR="00FF4AAC" w:rsidRPr="00D34C2A" w:rsidRDefault="00FF4AAC" w:rsidP="00FF4AAC">
      <w:pPr>
        <w:spacing w:after="0"/>
        <w:rPr>
          <w:b/>
        </w:rPr>
      </w:pPr>
      <w:r w:rsidRPr="00D34C2A">
        <w:rPr>
          <w:b/>
          <w:highlight w:val="red"/>
        </w:rPr>
        <w:t>SECTION 6: ACCIDENTAL RELEASE MEASURES</w:t>
      </w:r>
    </w:p>
    <w:p w:rsidR="00FF4AAC" w:rsidRPr="00EE2785" w:rsidRDefault="00FF4AAC" w:rsidP="00FF4AAC">
      <w:pPr>
        <w:spacing w:after="0"/>
        <w:rPr>
          <w:b/>
          <w:u w:val="single"/>
        </w:rPr>
      </w:pPr>
      <w:r w:rsidRPr="00EE2785">
        <w:rPr>
          <w:b/>
          <w:u w:val="single"/>
        </w:rPr>
        <w:t>6.1 Personal precautions, Protective Equipment and Emergency Procedures</w:t>
      </w:r>
    </w:p>
    <w:p w:rsidR="00FF4AAC" w:rsidRDefault="00FF4AAC" w:rsidP="00FF4AAC">
      <w:pPr>
        <w:spacing w:after="0"/>
      </w:pPr>
      <w:r>
        <w:t>General Measures</w:t>
      </w:r>
      <w:r>
        <w:tab/>
      </w:r>
      <w:r>
        <w:tab/>
      </w:r>
      <w:r>
        <w:tab/>
        <w:t>: Isolate from fire, if possible, without unnecessary risk.</w:t>
      </w:r>
    </w:p>
    <w:p w:rsidR="00FF4AAC" w:rsidRDefault="00FF4AAC" w:rsidP="00FF4AAC">
      <w:pPr>
        <w:spacing w:after="0"/>
      </w:pPr>
    </w:p>
    <w:p w:rsidR="00FF4AAC" w:rsidRPr="00EE2785" w:rsidRDefault="00FF4AAC" w:rsidP="00FF4AAC">
      <w:pPr>
        <w:spacing w:after="0"/>
        <w:rPr>
          <w:b/>
          <w:u w:val="single"/>
        </w:rPr>
      </w:pPr>
      <w:r w:rsidRPr="00EE2785">
        <w:rPr>
          <w:b/>
          <w:u w:val="single"/>
        </w:rPr>
        <w:lastRenderedPageBreak/>
        <w:t>6.1.1 For Non-Emergency Personnel</w:t>
      </w:r>
    </w:p>
    <w:p w:rsidR="00FF4AAC" w:rsidRDefault="00FF4AAC" w:rsidP="00FF4AAC">
      <w:pPr>
        <w:spacing w:after="0"/>
      </w:pPr>
      <w:r>
        <w:t>Emergency Procedures</w:t>
      </w:r>
      <w:r>
        <w:tab/>
      </w:r>
      <w:r>
        <w:tab/>
      </w:r>
      <w:r>
        <w:tab/>
        <w:t>: Evacuate unnecessary personnel.</w:t>
      </w:r>
    </w:p>
    <w:p w:rsidR="00FF4AAC" w:rsidRDefault="00FF4AAC" w:rsidP="00FF4AAC">
      <w:pPr>
        <w:spacing w:after="0"/>
      </w:pPr>
    </w:p>
    <w:p w:rsidR="00FF4AAC" w:rsidRPr="00EE2785" w:rsidRDefault="00FF4AAC" w:rsidP="00FF4AAC">
      <w:pPr>
        <w:spacing w:after="0"/>
      </w:pPr>
      <w:r w:rsidRPr="00EE2785">
        <w:rPr>
          <w:b/>
          <w:u w:val="single"/>
        </w:rPr>
        <w:t>6.1.2 For Emergency Responders</w:t>
      </w:r>
      <w:r w:rsidRPr="00EE2785">
        <w:tab/>
      </w:r>
    </w:p>
    <w:p w:rsidR="00FF4AAC" w:rsidRDefault="00FF4AAC" w:rsidP="00FF4AAC">
      <w:pPr>
        <w:spacing w:after="0"/>
      </w:pPr>
      <w:r>
        <w:t>Protective Equipment</w:t>
      </w:r>
      <w:r>
        <w:tab/>
      </w:r>
      <w:r>
        <w:tab/>
      </w:r>
      <w:r>
        <w:tab/>
        <w:t>: Equip Cleanup crew with proper protection</w:t>
      </w:r>
    </w:p>
    <w:p w:rsidR="00FF4AAC" w:rsidRDefault="00FF4AAC" w:rsidP="00FF4AAC">
      <w:pPr>
        <w:spacing w:after="0"/>
      </w:pPr>
      <w:r>
        <w:t>Emergency Procedures</w:t>
      </w:r>
      <w:r>
        <w:tab/>
      </w:r>
      <w:r>
        <w:tab/>
      </w:r>
      <w:r>
        <w:tab/>
        <w:t>: Ventilate Area</w:t>
      </w:r>
    </w:p>
    <w:p w:rsidR="00FF4AAC" w:rsidRDefault="00FF4AAC" w:rsidP="00FF4AAC">
      <w:pPr>
        <w:spacing w:after="0"/>
      </w:pPr>
    </w:p>
    <w:p w:rsidR="00FF4AAC" w:rsidRPr="00EE2785" w:rsidRDefault="00FF4AAC" w:rsidP="00FF4AAC">
      <w:pPr>
        <w:spacing w:after="0"/>
        <w:rPr>
          <w:b/>
          <w:u w:val="single"/>
        </w:rPr>
      </w:pPr>
      <w:r w:rsidRPr="00EE2785">
        <w:rPr>
          <w:b/>
          <w:u w:val="single"/>
        </w:rPr>
        <w:t>6.2 Environmental Precautions</w:t>
      </w:r>
    </w:p>
    <w:p w:rsidR="00FF4AAC" w:rsidRDefault="00FF4AAC" w:rsidP="00FF4AAC">
      <w:pPr>
        <w:spacing w:after="0"/>
      </w:pPr>
      <w:r>
        <w:t xml:space="preserve">Prevent entry </w:t>
      </w:r>
      <w:r w:rsidR="00882E62">
        <w:t>to sewers and public waters.</w:t>
      </w:r>
    </w:p>
    <w:p w:rsidR="00882E62" w:rsidRDefault="00882E62" w:rsidP="00FF4AAC">
      <w:pPr>
        <w:spacing w:after="0"/>
      </w:pPr>
    </w:p>
    <w:p w:rsidR="00882E62" w:rsidRDefault="00882E62" w:rsidP="00FF4AAC">
      <w:pPr>
        <w:spacing w:after="0"/>
      </w:pPr>
    </w:p>
    <w:p w:rsidR="00882E62" w:rsidRPr="00EE2785" w:rsidRDefault="00882E62" w:rsidP="00FF4AAC">
      <w:pPr>
        <w:spacing w:after="0"/>
        <w:rPr>
          <w:b/>
          <w:u w:val="single"/>
        </w:rPr>
      </w:pPr>
      <w:r w:rsidRPr="00EE2785">
        <w:rPr>
          <w:b/>
          <w:u w:val="single"/>
        </w:rPr>
        <w:t>6.3 Methods and Material for Containment and Cleaning Up</w:t>
      </w:r>
    </w:p>
    <w:p w:rsidR="00882E62" w:rsidRDefault="00882E62" w:rsidP="00FF4AAC">
      <w:pPr>
        <w:spacing w:after="0"/>
      </w:pPr>
      <w:r>
        <w:t>See Heading 8. Exposure controls and personal protection</w:t>
      </w:r>
    </w:p>
    <w:p w:rsidR="00882E62" w:rsidRDefault="00882E62" w:rsidP="00FF4AAC">
      <w:pPr>
        <w:spacing w:after="0"/>
      </w:pPr>
    </w:p>
    <w:p w:rsidR="00882E62" w:rsidRPr="006B1C10" w:rsidRDefault="00882E62" w:rsidP="00FF4AAC">
      <w:pPr>
        <w:spacing w:after="0"/>
        <w:rPr>
          <w:b/>
        </w:rPr>
      </w:pPr>
      <w:r w:rsidRPr="006B1C10">
        <w:rPr>
          <w:b/>
          <w:highlight w:val="red"/>
        </w:rPr>
        <w:t>SECTION 7: HANDLING AND STORAGE</w:t>
      </w:r>
    </w:p>
    <w:p w:rsidR="00882E62" w:rsidRDefault="00882E62" w:rsidP="00FF4AAC">
      <w:pPr>
        <w:spacing w:after="0"/>
      </w:pPr>
    </w:p>
    <w:p w:rsidR="00882E62" w:rsidRPr="00EE2785" w:rsidRDefault="00882E62" w:rsidP="00FF4AAC">
      <w:pPr>
        <w:spacing w:after="0"/>
        <w:rPr>
          <w:b/>
          <w:u w:val="single"/>
        </w:rPr>
      </w:pPr>
      <w:r w:rsidRPr="00EE2785">
        <w:rPr>
          <w:b/>
          <w:u w:val="single"/>
        </w:rPr>
        <w:t>7.1 Precautions for Safe Handling</w:t>
      </w:r>
    </w:p>
    <w:p w:rsidR="00882E62" w:rsidRDefault="00882E62" w:rsidP="00FF4AAC">
      <w:pPr>
        <w:spacing w:after="0"/>
      </w:pPr>
      <w:r>
        <w:t>Precautions for Safe Handling</w:t>
      </w:r>
      <w:r>
        <w:tab/>
      </w:r>
      <w:r>
        <w:tab/>
      </w:r>
      <w:r>
        <w:tab/>
        <w:t>:Wash hands and other exposed areas with mild soap</w:t>
      </w:r>
    </w:p>
    <w:p w:rsidR="00882E62" w:rsidRDefault="00882E62" w:rsidP="00882E62">
      <w:pPr>
        <w:spacing w:after="0"/>
        <w:ind w:left="4320"/>
      </w:pPr>
      <w:r>
        <w:t>and water before eating, drinking, smoking tobacco, or chewing gum and when leaving work.</w:t>
      </w:r>
    </w:p>
    <w:p w:rsidR="00882E62" w:rsidRPr="00EE2785" w:rsidRDefault="00882E62" w:rsidP="00882E62">
      <w:pPr>
        <w:spacing w:after="0"/>
        <w:rPr>
          <w:b/>
          <w:u w:val="single"/>
        </w:rPr>
      </w:pPr>
      <w:r w:rsidRPr="00EE2785">
        <w:rPr>
          <w:b/>
          <w:u w:val="single"/>
        </w:rPr>
        <w:t>7.2 Conditions for Safe Storage, Including any Incompatibilities</w:t>
      </w:r>
    </w:p>
    <w:p w:rsidR="00882E62" w:rsidRDefault="00882E62" w:rsidP="00882E62">
      <w:pPr>
        <w:spacing w:after="0"/>
        <w:ind w:left="2880" w:hanging="2880"/>
      </w:pPr>
      <w:r>
        <w:t>Storage Conditions</w:t>
      </w:r>
      <w:r>
        <w:tab/>
        <w:t>:Keep only in the original container with original label in a cool, well ventilated place away from Children. Keep Container closed when not in use.</w:t>
      </w:r>
    </w:p>
    <w:p w:rsidR="00882E62" w:rsidRDefault="00882E62" w:rsidP="00882E62">
      <w:pPr>
        <w:spacing w:after="0"/>
        <w:ind w:left="2880" w:hanging="2880"/>
      </w:pPr>
      <w:r>
        <w:t>Incompatible Products</w:t>
      </w:r>
      <w:r>
        <w:tab/>
        <w:t>: Strong bases, acids.</w:t>
      </w:r>
    </w:p>
    <w:p w:rsidR="00882E62" w:rsidRDefault="00882E62" w:rsidP="00882E62">
      <w:pPr>
        <w:spacing w:after="0"/>
        <w:ind w:left="2880" w:hanging="2880"/>
      </w:pPr>
      <w:r>
        <w:t>Incompatible Materials</w:t>
      </w:r>
      <w:r>
        <w:tab/>
        <w:t>: Sources of Ignition</w:t>
      </w:r>
    </w:p>
    <w:p w:rsidR="00882E62" w:rsidRDefault="00882E62" w:rsidP="00882E62">
      <w:pPr>
        <w:spacing w:after="0"/>
        <w:ind w:left="2880" w:hanging="2880"/>
      </w:pPr>
    </w:p>
    <w:p w:rsidR="00882E62" w:rsidRPr="00EE2785" w:rsidRDefault="00882E62" w:rsidP="00882E62">
      <w:pPr>
        <w:spacing w:after="0"/>
        <w:ind w:left="2880" w:hanging="2880"/>
        <w:rPr>
          <w:b/>
          <w:u w:val="single"/>
        </w:rPr>
      </w:pPr>
      <w:r w:rsidRPr="00EE2785">
        <w:rPr>
          <w:b/>
          <w:u w:val="single"/>
        </w:rPr>
        <w:t>7.3 Specific End Use(s)</w:t>
      </w:r>
    </w:p>
    <w:p w:rsidR="00882E62" w:rsidRDefault="00882E62" w:rsidP="00882E62">
      <w:pPr>
        <w:spacing w:after="0"/>
        <w:ind w:left="2880" w:hanging="2880"/>
      </w:pPr>
      <w:r>
        <w:t>No additional information available.</w:t>
      </w:r>
    </w:p>
    <w:p w:rsidR="00477310" w:rsidRDefault="00477310" w:rsidP="00882E62">
      <w:pPr>
        <w:spacing w:after="0"/>
        <w:ind w:left="2880" w:hanging="2880"/>
      </w:pPr>
    </w:p>
    <w:p w:rsidR="00477310" w:rsidRPr="006B1C10" w:rsidRDefault="00477310" w:rsidP="00882E62">
      <w:pPr>
        <w:spacing w:after="0"/>
        <w:ind w:left="2880" w:hanging="2880"/>
        <w:rPr>
          <w:b/>
        </w:rPr>
      </w:pPr>
      <w:r w:rsidRPr="006B1C10">
        <w:rPr>
          <w:b/>
          <w:highlight w:val="red"/>
        </w:rPr>
        <w:t>SECTION 8: EXPOSURE CONTROLS/PERSONAL PROTECTION</w:t>
      </w:r>
    </w:p>
    <w:p w:rsidR="00477310" w:rsidRDefault="00477310" w:rsidP="00882E62">
      <w:pPr>
        <w:spacing w:after="0"/>
        <w:ind w:left="2880" w:hanging="2880"/>
      </w:pPr>
    </w:p>
    <w:p w:rsidR="00477310" w:rsidRPr="006B1C10" w:rsidRDefault="00477310" w:rsidP="00882E62">
      <w:pPr>
        <w:spacing w:after="0"/>
        <w:ind w:left="2880" w:hanging="2880"/>
        <w:rPr>
          <w:b/>
        </w:rPr>
      </w:pPr>
      <w:r w:rsidRPr="006B1C10">
        <w:rPr>
          <w:b/>
        </w:rPr>
        <w:t>8.1</w:t>
      </w:r>
      <w:r w:rsidR="006B1C10">
        <w:rPr>
          <w:b/>
        </w:rPr>
        <w:t xml:space="preserve"> Control Para</w:t>
      </w:r>
      <w:r w:rsidR="00116BED" w:rsidRPr="006B1C10">
        <w:rPr>
          <w:b/>
        </w:rPr>
        <w:t>meters</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3200"/>
        <w:gridCol w:w="3200"/>
      </w:tblGrid>
      <w:tr w:rsidR="00116BED" w:rsidTr="00116BED">
        <w:trPr>
          <w:trHeight w:val="360"/>
        </w:trPr>
        <w:tc>
          <w:tcPr>
            <w:tcW w:w="9600" w:type="dxa"/>
            <w:gridSpan w:val="3"/>
          </w:tcPr>
          <w:p w:rsidR="00116BED" w:rsidRDefault="00D41BA4" w:rsidP="00882E62">
            <w:pPr>
              <w:spacing w:after="0"/>
            </w:pPr>
            <w:r>
              <w:rPr>
                <w:i/>
              </w:rPr>
              <w:t xml:space="preserve">Bacillus thuringiensis </w:t>
            </w:r>
            <w:r>
              <w:t xml:space="preserve">subspecies </w:t>
            </w:r>
            <w:r>
              <w:rPr>
                <w:i/>
              </w:rPr>
              <w:t xml:space="preserve">israelensis </w:t>
            </w:r>
            <w:r>
              <w:t>solids, spores and insecticidal toxins*</w:t>
            </w:r>
          </w:p>
          <w:p w:rsidR="00D41BA4" w:rsidRPr="00D41BA4" w:rsidRDefault="00D41BA4" w:rsidP="00882E62">
            <w:pPr>
              <w:spacing w:after="0"/>
            </w:pPr>
            <w:r>
              <w:t>7,000 aedes egypti (AA) International Toxic Units (ITU) per mg of primary powder.</w:t>
            </w:r>
          </w:p>
        </w:tc>
      </w:tr>
      <w:tr w:rsidR="00116BED" w:rsidTr="00030907">
        <w:trPr>
          <w:trHeight w:val="360"/>
        </w:trPr>
        <w:tc>
          <w:tcPr>
            <w:tcW w:w="3200" w:type="dxa"/>
          </w:tcPr>
          <w:p w:rsidR="00116BED" w:rsidRDefault="00116BED" w:rsidP="00882E62">
            <w:pPr>
              <w:spacing w:after="0"/>
            </w:pPr>
            <w:r>
              <w:t>USA ACGIH</w:t>
            </w:r>
          </w:p>
        </w:tc>
        <w:tc>
          <w:tcPr>
            <w:tcW w:w="3200" w:type="dxa"/>
          </w:tcPr>
          <w:p w:rsidR="00116BED" w:rsidRDefault="00116BED" w:rsidP="00882E62">
            <w:pPr>
              <w:spacing w:after="0"/>
            </w:pPr>
            <w:r>
              <w:t>ACGIH TWA (mg/m3)</w:t>
            </w:r>
          </w:p>
        </w:tc>
        <w:tc>
          <w:tcPr>
            <w:tcW w:w="3200" w:type="dxa"/>
          </w:tcPr>
          <w:p w:rsidR="00116BED" w:rsidRDefault="00116BED" w:rsidP="00882E62">
            <w:pPr>
              <w:spacing w:after="0"/>
            </w:pPr>
            <w:r>
              <w:t>5 mg/m3</w:t>
            </w:r>
          </w:p>
        </w:tc>
      </w:tr>
    </w:tbl>
    <w:p w:rsidR="00116BED" w:rsidRPr="006B1C10" w:rsidRDefault="00116BED" w:rsidP="00882E62">
      <w:pPr>
        <w:spacing w:after="0"/>
        <w:ind w:left="2880" w:hanging="2880"/>
        <w:rPr>
          <w:b/>
        </w:rPr>
      </w:pPr>
      <w:r w:rsidRPr="006B1C10">
        <w:rPr>
          <w:b/>
        </w:rPr>
        <w:t>8.2 Exposure Controls</w:t>
      </w:r>
    </w:p>
    <w:p w:rsidR="00116BED" w:rsidRDefault="00116BED" w:rsidP="00882E62">
      <w:pPr>
        <w:spacing w:after="0"/>
        <w:ind w:left="2880" w:hanging="2880"/>
      </w:pPr>
      <w:r>
        <w:t>Personal protective Equipment</w:t>
      </w:r>
      <w:r>
        <w:tab/>
      </w:r>
      <w:r>
        <w:tab/>
      </w:r>
      <w:r>
        <w:tab/>
        <w:t>: Avoid all unnecessary exposure.</w:t>
      </w:r>
    </w:p>
    <w:p w:rsidR="00116BED" w:rsidRDefault="00116BED" w:rsidP="00882E62">
      <w:pPr>
        <w:spacing w:after="0"/>
        <w:ind w:left="2880" w:hanging="2880"/>
      </w:pPr>
      <w:r>
        <w:t>Hand protection</w:t>
      </w:r>
      <w:r>
        <w:tab/>
      </w:r>
      <w:r>
        <w:tab/>
      </w:r>
      <w:r>
        <w:tab/>
        <w:t>: Wear protective gloves.</w:t>
      </w:r>
    </w:p>
    <w:p w:rsidR="00116BED" w:rsidRDefault="00116BED" w:rsidP="00882E62">
      <w:pPr>
        <w:spacing w:after="0"/>
        <w:ind w:left="2880" w:hanging="2880"/>
      </w:pPr>
      <w:r>
        <w:t>Eye Protection</w:t>
      </w:r>
      <w:r>
        <w:tab/>
      </w:r>
      <w:r>
        <w:tab/>
      </w:r>
      <w:r>
        <w:tab/>
        <w:t>: Chemical Googles or safety glasses.</w:t>
      </w:r>
    </w:p>
    <w:p w:rsidR="00116BED" w:rsidRDefault="00116BED" w:rsidP="00882E62">
      <w:pPr>
        <w:spacing w:after="0"/>
        <w:ind w:left="2880" w:hanging="2880"/>
      </w:pPr>
      <w:r>
        <w:t>Respiratory protection</w:t>
      </w:r>
      <w:r>
        <w:tab/>
      </w:r>
      <w:r>
        <w:tab/>
      </w:r>
      <w:r>
        <w:tab/>
        <w:t>: Wear approved mask.</w:t>
      </w:r>
    </w:p>
    <w:p w:rsidR="00116BED" w:rsidRDefault="00116BED" w:rsidP="00882E62">
      <w:pPr>
        <w:spacing w:after="0"/>
        <w:ind w:left="2880" w:hanging="2880"/>
      </w:pPr>
      <w:r>
        <w:t>Other information</w:t>
      </w:r>
      <w:r>
        <w:tab/>
      </w:r>
      <w:r>
        <w:tab/>
      </w:r>
      <w:r>
        <w:tab/>
        <w:t>: When using do not eat, drink, or smoke.</w:t>
      </w:r>
    </w:p>
    <w:p w:rsidR="00116BED" w:rsidRDefault="00116BED" w:rsidP="00882E62">
      <w:pPr>
        <w:spacing w:after="0"/>
        <w:ind w:left="2880" w:hanging="2880"/>
      </w:pPr>
    </w:p>
    <w:p w:rsidR="00116BED" w:rsidRPr="006B1C10" w:rsidRDefault="00116BED" w:rsidP="00882E62">
      <w:pPr>
        <w:spacing w:after="0"/>
        <w:ind w:left="2880" w:hanging="2880"/>
        <w:rPr>
          <w:b/>
        </w:rPr>
      </w:pPr>
      <w:r w:rsidRPr="006B1C10">
        <w:rPr>
          <w:b/>
          <w:highlight w:val="red"/>
        </w:rPr>
        <w:t>SECTION 9: PHYSICAL AND CHEMICAL PROPERTIES</w:t>
      </w:r>
    </w:p>
    <w:p w:rsidR="00116BED" w:rsidRPr="00EE2785" w:rsidRDefault="00116BED" w:rsidP="00882E62">
      <w:pPr>
        <w:spacing w:after="0"/>
        <w:ind w:left="2880" w:hanging="2880"/>
        <w:rPr>
          <w:b/>
          <w:u w:val="single"/>
        </w:rPr>
      </w:pPr>
      <w:r w:rsidRPr="00EE2785">
        <w:rPr>
          <w:b/>
          <w:u w:val="single"/>
        </w:rPr>
        <w:t>9.1  Information on Basic Physical and Chemical Properties</w:t>
      </w:r>
    </w:p>
    <w:p w:rsidR="00116BED" w:rsidRDefault="00116BED" w:rsidP="00882E62">
      <w:pPr>
        <w:spacing w:after="0"/>
        <w:ind w:left="2880" w:hanging="2880"/>
      </w:pPr>
      <w:r>
        <w:t>Physical State</w:t>
      </w:r>
      <w:r>
        <w:tab/>
      </w:r>
      <w:r>
        <w:tab/>
      </w:r>
      <w:r>
        <w:tab/>
        <w:t xml:space="preserve">: </w:t>
      </w:r>
      <w:r w:rsidR="00D41BA4">
        <w:t>Solid</w:t>
      </w:r>
      <w:r w:rsidR="00FA42A3">
        <w:t>,granule</w:t>
      </w:r>
    </w:p>
    <w:p w:rsidR="00116BED" w:rsidRDefault="00116BED" w:rsidP="00882E62">
      <w:pPr>
        <w:spacing w:after="0"/>
        <w:ind w:left="2880" w:hanging="2880"/>
      </w:pPr>
      <w:r>
        <w:t>Color</w:t>
      </w:r>
      <w:r>
        <w:tab/>
      </w:r>
      <w:r>
        <w:tab/>
      </w:r>
      <w:r>
        <w:tab/>
        <w:t xml:space="preserve">: </w:t>
      </w:r>
      <w:r w:rsidR="00D41BA4">
        <w:t>Light Brown</w:t>
      </w:r>
    </w:p>
    <w:p w:rsidR="00116BED" w:rsidRDefault="00116BED" w:rsidP="00882E62">
      <w:pPr>
        <w:spacing w:after="0"/>
        <w:ind w:left="2880" w:hanging="2880"/>
      </w:pPr>
      <w:r>
        <w:lastRenderedPageBreak/>
        <w:t>Odor</w:t>
      </w:r>
      <w:r>
        <w:tab/>
      </w:r>
      <w:r>
        <w:tab/>
      </w:r>
      <w:r>
        <w:tab/>
        <w:t>: Mild</w:t>
      </w:r>
    </w:p>
    <w:p w:rsidR="00116BED" w:rsidRDefault="00116BED" w:rsidP="00882E62">
      <w:pPr>
        <w:spacing w:after="0"/>
        <w:ind w:left="2880" w:hanging="2880"/>
      </w:pPr>
      <w:r>
        <w:t>Odor Threshold</w:t>
      </w:r>
      <w:r>
        <w:tab/>
      </w:r>
      <w:r>
        <w:tab/>
      </w:r>
      <w:r>
        <w:tab/>
        <w:t>: No data available.</w:t>
      </w:r>
    </w:p>
    <w:p w:rsidR="00116BED" w:rsidRDefault="00116BED" w:rsidP="00882E62">
      <w:pPr>
        <w:spacing w:after="0"/>
        <w:ind w:left="2880" w:hanging="2880"/>
      </w:pPr>
      <w:r>
        <w:t>pH</w:t>
      </w:r>
      <w:r>
        <w:tab/>
      </w:r>
      <w:r>
        <w:tab/>
      </w:r>
      <w:r>
        <w:tab/>
        <w:t xml:space="preserve">: </w:t>
      </w:r>
      <w:r w:rsidR="00D41BA4">
        <w:t>NA</w:t>
      </w:r>
    </w:p>
    <w:p w:rsidR="00116BED" w:rsidRDefault="00116BED" w:rsidP="00882E62">
      <w:pPr>
        <w:spacing w:after="0"/>
        <w:ind w:left="2880" w:hanging="2880"/>
      </w:pPr>
      <w:r>
        <w:t>Relative Evaporation rate (butyl acetate=1)</w:t>
      </w:r>
      <w:r>
        <w:tab/>
        <w:t>: No data available</w:t>
      </w:r>
    </w:p>
    <w:p w:rsidR="00116BED" w:rsidRDefault="00116BED" w:rsidP="00882E62">
      <w:pPr>
        <w:spacing w:after="0"/>
        <w:ind w:left="2880" w:hanging="2880"/>
      </w:pPr>
      <w:r>
        <w:t>Melting Point</w:t>
      </w:r>
      <w:r>
        <w:tab/>
      </w:r>
      <w:r>
        <w:tab/>
      </w:r>
      <w:r>
        <w:tab/>
        <w:t>: No data available</w:t>
      </w:r>
    </w:p>
    <w:p w:rsidR="00116BED" w:rsidRDefault="00116BED" w:rsidP="00882E62">
      <w:pPr>
        <w:spacing w:after="0"/>
        <w:ind w:left="2880" w:hanging="2880"/>
      </w:pPr>
      <w:r>
        <w:t>Freezing Point</w:t>
      </w:r>
      <w:r>
        <w:tab/>
      </w:r>
      <w:r>
        <w:tab/>
      </w:r>
      <w:r>
        <w:tab/>
        <w:t>: No data available</w:t>
      </w:r>
    </w:p>
    <w:p w:rsidR="00116BED" w:rsidRDefault="00116BED" w:rsidP="00882E62">
      <w:pPr>
        <w:spacing w:after="0"/>
        <w:ind w:left="2880" w:hanging="2880"/>
      </w:pPr>
      <w:r>
        <w:t>Boiling Point</w:t>
      </w:r>
      <w:r>
        <w:tab/>
      </w:r>
      <w:r>
        <w:tab/>
      </w:r>
      <w:r>
        <w:tab/>
        <w:t xml:space="preserve">: </w:t>
      </w:r>
      <w:r w:rsidR="00D41BA4">
        <w:t>No data available</w:t>
      </w:r>
    </w:p>
    <w:p w:rsidR="00116BED" w:rsidRDefault="00116BED" w:rsidP="00882E62">
      <w:pPr>
        <w:spacing w:after="0"/>
        <w:ind w:left="2880" w:hanging="2880"/>
      </w:pPr>
      <w:r>
        <w:t>Flash Point</w:t>
      </w:r>
      <w:r>
        <w:tab/>
      </w:r>
      <w:r>
        <w:tab/>
      </w:r>
      <w:r>
        <w:tab/>
        <w:t xml:space="preserve">: </w:t>
      </w:r>
      <w:r w:rsidR="00D41BA4">
        <w:t>No data available</w:t>
      </w:r>
    </w:p>
    <w:p w:rsidR="00D41BA4" w:rsidRDefault="00116BED" w:rsidP="00882E62">
      <w:pPr>
        <w:spacing w:after="0"/>
        <w:ind w:left="2880" w:hanging="2880"/>
      </w:pPr>
      <w:r>
        <w:t>Self Ignition Temperature</w:t>
      </w:r>
      <w:r>
        <w:tab/>
      </w:r>
      <w:r>
        <w:tab/>
      </w:r>
      <w:r>
        <w:tab/>
        <w:t xml:space="preserve">: </w:t>
      </w:r>
      <w:r w:rsidR="00D41BA4">
        <w:t xml:space="preserve">No data available </w:t>
      </w:r>
    </w:p>
    <w:p w:rsidR="00116BED" w:rsidRDefault="00116BED" w:rsidP="00882E62">
      <w:pPr>
        <w:spacing w:after="0"/>
        <w:ind w:left="2880" w:hanging="2880"/>
      </w:pPr>
      <w:r>
        <w:t>Decomposition Temperature</w:t>
      </w:r>
      <w:r>
        <w:tab/>
      </w:r>
      <w:r>
        <w:tab/>
      </w:r>
      <w:r>
        <w:tab/>
        <w:t>: No data available</w:t>
      </w:r>
    </w:p>
    <w:p w:rsidR="00116BED" w:rsidRDefault="00116BED" w:rsidP="00882E62">
      <w:pPr>
        <w:spacing w:after="0"/>
        <w:ind w:left="2880" w:hanging="2880"/>
      </w:pPr>
      <w:r>
        <w:t>Flammability (solid, gas)</w:t>
      </w:r>
      <w:r>
        <w:tab/>
      </w:r>
      <w:r>
        <w:tab/>
      </w:r>
      <w:r>
        <w:tab/>
        <w:t>: No data available</w:t>
      </w:r>
    </w:p>
    <w:p w:rsidR="00116BED" w:rsidRDefault="00116BED" w:rsidP="00882E62">
      <w:pPr>
        <w:spacing w:after="0"/>
        <w:ind w:left="2880" w:hanging="2880"/>
      </w:pPr>
      <w:r>
        <w:t>Vapor Pressure</w:t>
      </w:r>
      <w:r>
        <w:tab/>
      </w:r>
      <w:r>
        <w:tab/>
      </w:r>
      <w:r>
        <w:tab/>
        <w:t>:</w:t>
      </w:r>
      <w:r w:rsidR="00B37789">
        <w:t xml:space="preserve"> No data available</w:t>
      </w:r>
    </w:p>
    <w:p w:rsidR="00B37789" w:rsidRDefault="00B37789" w:rsidP="00882E62">
      <w:pPr>
        <w:spacing w:after="0"/>
        <w:ind w:left="2880" w:hanging="2880"/>
      </w:pPr>
      <w:r>
        <w:t>Relative vapor density at 20 degrees C</w:t>
      </w:r>
      <w:r>
        <w:tab/>
      </w:r>
      <w:r>
        <w:tab/>
        <w:t>: No data available</w:t>
      </w:r>
    </w:p>
    <w:p w:rsidR="00D41BA4" w:rsidRDefault="00B37789" w:rsidP="00882E62">
      <w:pPr>
        <w:spacing w:after="0"/>
        <w:ind w:left="2880" w:hanging="2880"/>
      </w:pPr>
      <w:r>
        <w:t>Relative density</w:t>
      </w:r>
      <w:r>
        <w:tab/>
      </w:r>
      <w:r>
        <w:tab/>
      </w:r>
      <w:r>
        <w:tab/>
        <w:t xml:space="preserve">: </w:t>
      </w:r>
      <w:r w:rsidR="00D41BA4">
        <w:t xml:space="preserve">No data available </w:t>
      </w:r>
    </w:p>
    <w:p w:rsidR="00B37789" w:rsidRDefault="00D41BA4" w:rsidP="00882E62">
      <w:pPr>
        <w:spacing w:after="0"/>
        <w:ind w:left="2880" w:hanging="2880"/>
      </w:pPr>
      <w:r>
        <w:t>D</w:t>
      </w:r>
      <w:r w:rsidR="00B37789">
        <w:t>ensity</w:t>
      </w:r>
      <w:r w:rsidR="00B37789">
        <w:tab/>
      </w:r>
      <w:r w:rsidR="00B37789">
        <w:tab/>
      </w:r>
      <w:r w:rsidR="00B37789">
        <w:tab/>
        <w:t>: No data available</w:t>
      </w:r>
    </w:p>
    <w:p w:rsidR="00B37789" w:rsidRDefault="00B37789" w:rsidP="00882E62">
      <w:pPr>
        <w:spacing w:after="0"/>
        <w:ind w:left="2880" w:hanging="2880"/>
      </w:pPr>
      <w:r>
        <w:t>Solubility</w:t>
      </w:r>
      <w:r>
        <w:tab/>
      </w:r>
      <w:r>
        <w:tab/>
      </w:r>
      <w:r>
        <w:tab/>
        <w:t>: No data available</w:t>
      </w:r>
    </w:p>
    <w:p w:rsidR="00B37789" w:rsidRDefault="00B37789" w:rsidP="00882E62">
      <w:pPr>
        <w:spacing w:after="0"/>
        <w:ind w:left="2880" w:hanging="2880"/>
      </w:pPr>
    </w:p>
    <w:p w:rsidR="00B37789" w:rsidRPr="00EE2785" w:rsidRDefault="00B37789" w:rsidP="00882E62">
      <w:pPr>
        <w:spacing w:after="0"/>
        <w:ind w:left="2880" w:hanging="2880"/>
        <w:rPr>
          <w:b/>
          <w:u w:val="single"/>
        </w:rPr>
      </w:pPr>
      <w:r w:rsidRPr="00EE2785">
        <w:rPr>
          <w:b/>
          <w:u w:val="single"/>
        </w:rPr>
        <w:t>9.2  Other Information</w:t>
      </w:r>
    </w:p>
    <w:p w:rsidR="00B37789" w:rsidRDefault="00B37789" w:rsidP="00882E62">
      <w:pPr>
        <w:spacing w:after="0"/>
        <w:ind w:left="2880" w:hanging="2880"/>
      </w:pPr>
      <w:r>
        <w:t>No additional information available.</w:t>
      </w:r>
    </w:p>
    <w:p w:rsidR="00B37789" w:rsidRDefault="00B37789" w:rsidP="00882E62">
      <w:pPr>
        <w:spacing w:after="0"/>
        <w:ind w:left="2880" w:hanging="2880"/>
      </w:pPr>
    </w:p>
    <w:p w:rsidR="00B37789" w:rsidRPr="00D34C2A" w:rsidRDefault="00B37789" w:rsidP="00882E62">
      <w:pPr>
        <w:spacing w:after="0"/>
        <w:ind w:left="2880" w:hanging="2880"/>
        <w:rPr>
          <w:b/>
        </w:rPr>
      </w:pPr>
      <w:r w:rsidRPr="00D34C2A">
        <w:rPr>
          <w:b/>
          <w:highlight w:val="red"/>
        </w:rPr>
        <w:t>SECTION 10: STABILITY AND REACTIVITY</w:t>
      </w:r>
    </w:p>
    <w:p w:rsidR="00B37789" w:rsidRPr="00EE2785" w:rsidRDefault="00B37789" w:rsidP="00882E62">
      <w:pPr>
        <w:spacing w:after="0"/>
        <w:ind w:left="2880" w:hanging="2880"/>
        <w:rPr>
          <w:b/>
          <w:u w:val="single"/>
        </w:rPr>
      </w:pPr>
      <w:r w:rsidRPr="00EE2785">
        <w:rPr>
          <w:b/>
          <w:u w:val="single"/>
        </w:rPr>
        <w:t>10.1  Reactivity</w:t>
      </w:r>
    </w:p>
    <w:p w:rsidR="00B37789" w:rsidRDefault="00B37789" w:rsidP="00882E62">
      <w:pPr>
        <w:spacing w:after="0"/>
        <w:ind w:left="2880" w:hanging="2880"/>
      </w:pPr>
      <w:r>
        <w:t>No additional information available.</w:t>
      </w:r>
    </w:p>
    <w:p w:rsidR="00B37789" w:rsidRPr="00EE2785" w:rsidRDefault="00B37789" w:rsidP="00882E62">
      <w:pPr>
        <w:spacing w:after="0"/>
        <w:ind w:left="2880" w:hanging="2880"/>
        <w:rPr>
          <w:b/>
          <w:u w:val="single"/>
        </w:rPr>
      </w:pPr>
      <w:r w:rsidRPr="00EE2785">
        <w:rPr>
          <w:b/>
          <w:u w:val="single"/>
        </w:rPr>
        <w:t>10.2  Chemical Stability</w:t>
      </w:r>
    </w:p>
    <w:p w:rsidR="00B37789" w:rsidRDefault="00B37789" w:rsidP="00882E62">
      <w:pPr>
        <w:spacing w:after="0"/>
        <w:ind w:left="2880" w:hanging="2880"/>
      </w:pPr>
      <w:r>
        <w:t>Stable under normal conditions</w:t>
      </w:r>
    </w:p>
    <w:p w:rsidR="00B37789" w:rsidRPr="00EE2785" w:rsidRDefault="00B37789" w:rsidP="00B37789">
      <w:pPr>
        <w:spacing w:after="0"/>
        <w:ind w:left="2880" w:hanging="2880"/>
        <w:rPr>
          <w:b/>
          <w:u w:val="single"/>
        </w:rPr>
      </w:pPr>
      <w:r w:rsidRPr="00EE2785">
        <w:rPr>
          <w:b/>
          <w:u w:val="single"/>
        </w:rPr>
        <w:t>10.3  Possibility of hazardous reactions</w:t>
      </w:r>
    </w:p>
    <w:p w:rsidR="00B37789" w:rsidRDefault="00B37789" w:rsidP="00B37789">
      <w:pPr>
        <w:spacing w:after="0"/>
        <w:ind w:left="2880" w:hanging="2880"/>
      </w:pPr>
      <w:r>
        <w:t>Not established</w:t>
      </w:r>
    </w:p>
    <w:p w:rsidR="00B37789" w:rsidRPr="00EE2785" w:rsidRDefault="00B37789" w:rsidP="00B37789">
      <w:pPr>
        <w:spacing w:after="0"/>
        <w:ind w:left="2880" w:hanging="2880"/>
        <w:rPr>
          <w:b/>
          <w:u w:val="single"/>
        </w:rPr>
      </w:pPr>
      <w:r w:rsidRPr="00EE2785">
        <w:rPr>
          <w:b/>
          <w:u w:val="single"/>
        </w:rPr>
        <w:t>10.4  Conditions to Avoid</w:t>
      </w:r>
    </w:p>
    <w:p w:rsidR="00B37789" w:rsidRDefault="00B37789" w:rsidP="00B37789">
      <w:pPr>
        <w:spacing w:after="0"/>
        <w:ind w:left="2880" w:hanging="2880"/>
      </w:pPr>
      <w:r>
        <w:t>Heat. Extremely High Temperatures</w:t>
      </w:r>
    </w:p>
    <w:p w:rsidR="00B37789" w:rsidRPr="00EE2785" w:rsidRDefault="00B37789" w:rsidP="00B37789">
      <w:pPr>
        <w:spacing w:after="0"/>
        <w:ind w:left="2880" w:hanging="2880"/>
        <w:rPr>
          <w:b/>
          <w:u w:val="single"/>
        </w:rPr>
      </w:pPr>
      <w:r w:rsidRPr="00EE2785">
        <w:rPr>
          <w:b/>
          <w:u w:val="single"/>
        </w:rPr>
        <w:t>10.5  Incompatible Materials</w:t>
      </w:r>
    </w:p>
    <w:p w:rsidR="00B37789" w:rsidRDefault="00D41BA4" w:rsidP="00B37789">
      <w:pPr>
        <w:spacing w:after="0"/>
        <w:ind w:left="2880" w:hanging="2880"/>
      </w:pPr>
      <w:r>
        <w:t>No Data Available</w:t>
      </w:r>
    </w:p>
    <w:p w:rsidR="00B37789" w:rsidRPr="00EE2785" w:rsidRDefault="00B37789" w:rsidP="00B37789">
      <w:pPr>
        <w:spacing w:after="0"/>
        <w:ind w:left="2880" w:hanging="2880"/>
        <w:rPr>
          <w:b/>
          <w:u w:val="single"/>
        </w:rPr>
      </w:pPr>
      <w:r w:rsidRPr="00EE2785">
        <w:rPr>
          <w:b/>
          <w:u w:val="single"/>
        </w:rPr>
        <w:t>10.6 Hazardous Decomposition Products</w:t>
      </w:r>
    </w:p>
    <w:p w:rsidR="00B37789" w:rsidRDefault="00D41BA4" w:rsidP="00B37789">
      <w:pPr>
        <w:spacing w:after="0"/>
        <w:ind w:left="2880" w:hanging="2880"/>
      </w:pPr>
      <w:r>
        <w:t>None</w:t>
      </w:r>
    </w:p>
    <w:p w:rsidR="00B37789" w:rsidRDefault="00B37789" w:rsidP="00B37789">
      <w:pPr>
        <w:spacing w:after="0"/>
        <w:ind w:left="2880" w:hanging="2880"/>
      </w:pPr>
    </w:p>
    <w:p w:rsidR="00B37789" w:rsidRPr="00D34C2A" w:rsidRDefault="00B37789" w:rsidP="00B37789">
      <w:pPr>
        <w:spacing w:after="0"/>
        <w:ind w:left="2880" w:hanging="2880"/>
        <w:rPr>
          <w:b/>
        </w:rPr>
      </w:pPr>
      <w:r w:rsidRPr="00D34C2A">
        <w:rPr>
          <w:b/>
          <w:highlight w:val="red"/>
        </w:rPr>
        <w:t>SECTION 11: TOXILOGICAL INFORMATION</w:t>
      </w:r>
    </w:p>
    <w:p w:rsidR="00B37789" w:rsidRPr="00EE2785" w:rsidRDefault="00B37789" w:rsidP="00B37789">
      <w:pPr>
        <w:spacing w:after="0"/>
        <w:ind w:left="2880" w:hanging="2880"/>
        <w:rPr>
          <w:b/>
          <w:u w:val="single"/>
        </w:rPr>
      </w:pPr>
      <w:r w:rsidRPr="00EE2785">
        <w:rPr>
          <w:b/>
          <w:u w:val="single"/>
        </w:rPr>
        <w:t>11.1  Information on Toxicological Effects</w:t>
      </w:r>
    </w:p>
    <w:p w:rsidR="00B37789" w:rsidRPr="00D34C2A" w:rsidRDefault="00B37789" w:rsidP="00B37789">
      <w:pPr>
        <w:spacing w:after="0"/>
        <w:ind w:left="2880" w:hanging="2880"/>
        <w:rPr>
          <w:b/>
        </w:rPr>
      </w:pPr>
    </w:p>
    <w:p w:rsidR="00B37789" w:rsidRDefault="00B37789" w:rsidP="00B37789">
      <w:pPr>
        <w:spacing w:after="0"/>
        <w:ind w:left="2880" w:hanging="2880"/>
      </w:pPr>
      <w:r>
        <w:t>Acute Toxicity</w:t>
      </w:r>
      <w:r>
        <w:tab/>
      </w:r>
      <w:r>
        <w:tab/>
      </w:r>
      <w:r>
        <w:tab/>
        <w:t>:  Not classified</w:t>
      </w:r>
    </w:p>
    <w:p w:rsidR="00B37789" w:rsidRDefault="00B37789" w:rsidP="00B37789">
      <w:pPr>
        <w:spacing w:after="0"/>
        <w:ind w:left="2880" w:hanging="2880"/>
      </w:pPr>
    </w:p>
    <w:tbl>
      <w:tblPr>
        <w:tblStyle w:val="TableGrid"/>
        <w:tblW w:w="0" w:type="auto"/>
        <w:tblInd w:w="-95" w:type="dxa"/>
        <w:tblLook w:val="04A0" w:firstRow="1" w:lastRow="0" w:firstColumn="1" w:lastColumn="0" w:noHBand="0" w:noVBand="1"/>
      </w:tblPr>
      <w:tblGrid>
        <w:gridCol w:w="6210"/>
        <w:gridCol w:w="3235"/>
      </w:tblGrid>
      <w:tr w:rsidR="00B37789" w:rsidTr="00B37789">
        <w:tc>
          <w:tcPr>
            <w:tcW w:w="6210" w:type="dxa"/>
          </w:tcPr>
          <w:p w:rsidR="00D41BA4" w:rsidRDefault="00D41BA4" w:rsidP="00D41BA4">
            <w:r>
              <w:rPr>
                <w:i/>
              </w:rPr>
              <w:t xml:space="preserve">Bacillus thuringiensis </w:t>
            </w:r>
            <w:r>
              <w:t xml:space="preserve">subspecies </w:t>
            </w:r>
            <w:r>
              <w:rPr>
                <w:i/>
              </w:rPr>
              <w:t xml:space="preserve">israelensis </w:t>
            </w:r>
            <w:r>
              <w:t>solids, spores and insecticidal toxins*</w:t>
            </w:r>
          </w:p>
          <w:p w:rsidR="00B37789" w:rsidRDefault="00D41BA4" w:rsidP="00D41BA4">
            <w:r>
              <w:t>7,000 aedes egypti (AA) International Toxic Units (ITU) per mg of primary powder.</w:t>
            </w:r>
          </w:p>
        </w:tc>
        <w:tc>
          <w:tcPr>
            <w:tcW w:w="3235" w:type="dxa"/>
          </w:tcPr>
          <w:p w:rsidR="00B37789" w:rsidRDefault="00B37789" w:rsidP="00B37789"/>
        </w:tc>
      </w:tr>
      <w:tr w:rsidR="00B37789" w:rsidTr="00B37789">
        <w:tc>
          <w:tcPr>
            <w:tcW w:w="6210" w:type="dxa"/>
          </w:tcPr>
          <w:p w:rsidR="00B37789" w:rsidRDefault="00B37789" w:rsidP="00B37789">
            <w:r>
              <w:t>LD50 oral rat</w:t>
            </w:r>
          </w:p>
        </w:tc>
        <w:tc>
          <w:tcPr>
            <w:tcW w:w="3235" w:type="dxa"/>
          </w:tcPr>
          <w:p w:rsidR="00B37789" w:rsidRDefault="00D41BA4" w:rsidP="00B37789">
            <w:pPr>
              <w:pStyle w:val="ListParagraph"/>
              <w:numPr>
                <w:ilvl w:val="0"/>
                <w:numId w:val="3"/>
              </w:numPr>
            </w:pPr>
            <w:r>
              <w:t>10</w:t>
            </w:r>
            <w:r w:rsidR="00B37789">
              <w:t>000 mg/kg (Rat)</w:t>
            </w:r>
          </w:p>
        </w:tc>
      </w:tr>
      <w:tr w:rsidR="00B37789" w:rsidTr="00B37789">
        <w:tc>
          <w:tcPr>
            <w:tcW w:w="6210" w:type="dxa"/>
          </w:tcPr>
          <w:p w:rsidR="00B37789" w:rsidRDefault="00B37789" w:rsidP="00B37789">
            <w:r>
              <w:t>LD50 dermal rabbit</w:t>
            </w:r>
          </w:p>
        </w:tc>
        <w:tc>
          <w:tcPr>
            <w:tcW w:w="3235" w:type="dxa"/>
          </w:tcPr>
          <w:p w:rsidR="00B37789" w:rsidRDefault="00D41BA4" w:rsidP="00B37789">
            <w:pPr>
              <w:pStyle w:val="ListParagraph"/>
              <w:numPr>
                <w:ilvl w:val="0"/>
                <w:numId w:val="2"/>
              </w:numPr>
            </w:pPr>
            <w:r>
              <w:t>10</w:t>
            </w:r>
            <w:r w:rsidR="00B37789">
              <w:t>000 mg/kg (Rabbit)</w:t>
            </w:r>
          </w:p>
        </w:tc>
      </w:tr>
    </w:tbl>
    <w:p w:rsidR="00B37789" w:rsidRDefault="00B37789" w:rsidP="00B37789">
      <w:pPr>
        <w:spacing w:after="0"/>
        <w:ind w:left="2880" w:hanging="2880"/>
      </w:pPr>
      <w:r>
        <w:t>Skin corrosion/irritation</w:t>
      </w:r>
      <w:r>
        <w:tab/>
      </w:r>
      <w:r>
        <w:tab/>
      </w:r>
      <w:r>
        <w:tab/>
        <w:t>:  Not classified</w:t>
      </w:r>
    </w:p>
    <w:p w:rsidR="00D41BA4" w:rsidRDefault="00B37789" w:rsidP="00B37789">
      <w:pPr>
        <w:spacing w:after="0"/>
        <w:ind w:left="2880" w:hanging="2880"/>
      </w:pPr>
      <w:r>
        <w:tab/>
      </w:r>
      <w:r>
        <w:tab/>
      </w:r>
      <w:r>
        <w:tab/>
        <w:t xml:space="preserve">  </w:t>
      </w:r>
    </w:p>
    <w:p w:rsidR="00B37789" w:rsidRDefault="00B37789" w:rsidP="00B37789">
      <w:pPr>
        <w:spacing w:after="0"/>
        <w:ind w:left="2880" w:hanging="2880"/>
      </w:pPr>
      <w:r>
        <w:t>Serious Eye damage/irritation</w:t>
      </w:r>
      <w:r>
        <w:tab/>
      </w:r>
      <w:r>
        <w:tab/>
      </w:r>
      <w:r>
        <w:tab/>
        <w:t xml:space="preserve">:  Not classified </w:t>
      </w:r>
    </w:p>
    <w:p w:rsidR="00B37789" w:rsidRDefault="00B37789" w:rsidP="00B37789">
      <w:pPr>
        <w:spacing w:after="0"/>
        <w:ind w:left="2880" w:hanging="2880"/>
      </w:pPr>
      <w:r>
        <w:lastRenderedPageBreak/>
        <w:t>Respiratory or skin sensitization</w:t>
      </w:r>
      <w:r>
        <w:tab/>
      </w:r>
      <w:r>
        <w:tab/>
      </w:r>
      <w:r>
        <w:tab/>
        <w:t>:  Not Classified</w:t>
      </w:r>
    </w:p>
    <w:p w:rsidR="00B37789" w:rsidRDefault="00B37789" w:rsidP="00B37789">
      <w:pPr>
        <w:spacing w:after="0"/>
        <w:ind w:left="2880" w:hanging="2880"/>
      </w:pPr>
      <w:r>
        <w:t>Germ Cell Mutagenicity</w:t>
      </w:r>
      <w:r>
        <w:tab/>
      </w:r>
      <w:r>
        <w:tab/>
      </w:r>
      <w:r>
        <w:tab/>
        <w:t>:  Not Classified</w:t>
      </w:r>
    </w:p>
    <w:p w:rsidR="00471208" w:rsidRDefault="00B37789" w:rsidP="00471208">
      <w:pPr>
        <w:spacing w:after="0"/>
        <w:ind w:left="2880" w:hanging="2880"/>
      </w:pPr>
      <w:r>
        <w:t>Car</w:t>
      </w:r>
      <w:r w:rsidR="00471208">
        <w:t>cinogenicity</w:t>
      </w:r>
      <w:r w:rsidR="00471208">
        <w:tab/>
      </w:r>
      <w:r w:rsidR="00471208">
        <w:tab/>
      </w:r>
      <w:r w:rsidR="00471208">
        <w:tab/>
        <w:t>:  Not Classified</w:t>
      </w:r>
    </w:p>
    <w:p w:rsidR="00471208" w:rsidRDefault="00471208" w:rsidP="00471208">
      <w:pPr>
        <w:spacing w:after="0"/>
        <w:ind w:left="2880" w:hanging="2880"/>
      </w:pPr>
    </w:p>
    <w:p w:rsidR="00EE2785" w:rsidRDefault="00EE2785" w:rsidP="00471208">
      <w:pPr>
        <w:spacing w:after="0"/>
        <w:ind w:left="2880" w:hanging="2880"/>
      </w:pPr>
    </w:p>
    <w:p w:rsidR="00D41BA4" w:rsidRDefault="00D41BA4" w:rsidP="00D41BA4">
      <w:pPr>
        <w:spacing w:after="0"/>
      </w:pPr>
      <w:r>
        <w:rPr>
          <w:i/>
        </w:rPr>
        <w:t xml:space="preserve">Bacillus thuringiensis </w:t>
      </w:r>
      <w:r>
        <w:t xml:space="preserve">subspecies </w:t>
      </w:r>
      <w:r>
        <w:rPr>
          <w:i/>
        </w:rPr>
        <w:t xml:space="preserve">israelensis </w:t>
      </w:r>
      <w:r>
        <w:t>solids, spores and insecticidal toxins*</w:t>
      </w:r>
    </w:p>
    <w:p w:rsidR="00D41BA4" w:rsidRDefault="00D41BA4" w:rsidP="00D41BA4">
      <w:pPr>
        <w:pBdr>
          <w:top w:val="single" w:sz="4" w:space="18" w:color="auto"/>
          <w:left w:val="single" w:sz="4" w:space="4" w:color="auto"/>
          <w:bottom w:val="single" w:sz="4" w:space="16" w:color="auto"/>
          <w:right w:val="single" w:sz="4" w:space="4" w:color="auto"/>
          <w:between w:val="single" w:sz="4" w:space="1" w:color="auto"/>
          <w:bar w:val="single" w:sz="4" w:color="auto"/>
        </w:pBdr>
        <w:tabs>
          <w:tab w:val="left" w:pos="2265"/>
          <w:tab w:val="left" w:pos="3435"/>
          <w:tab w:val="left" w:pos="3600"/>
          <w:tab w:val="left" w:pos="4020"/>
          <w:tab w:val="left" w:pos="8550"/>
        </w:tabs>
        <w:spacing w:after="0"/>
        <w:ind w:left="2880" w:hanging="2880"/>
      </w:pPr>
      <w:r>
        <w:tab/>
      </w:r>
      <w:r>
        <w:tab/>
      </w:r>
      <w:r>
        <w:tab/>
      </w:r>
      <w:r>
        <w:tab/>
      </w:r>
      <w:r>
        <w:tab/>
      </w:r>
      <w:r>
        <w:tab/>
      </w:r>
    </w:p>
    <w:p w:rsidR="00B37789" w:rsidRDefault="00D41BA4" w:rsidP="00D41BA4">
      <w:pPr>
        <w:pBdr>
          <w:top w:val="single" w:sz="4" w:space="18" w:color="auto"/>
          <w:left w:val="single" w:sz="4" w:space="4" w:color="auto"/>
          <w:bottom w:val="single" w:sz="4" w:space="16" w:color="auto"/>
          <w:right w:val="single" w:sz="4" w:space="4" w:color="auto"/>
          <w:between w:val="single" w:sz="4" w:space="1" w:color="auto"/>
          <w:bar w:val="single" w:sz="4" w:color="auto"/>
        </w:pBdr>
        <w:tabs>
          <w:tab w:val="left" w:pos="2265"/>
          <w:tab w:val="left" w:pos="3435"/>
          <w:tab w:val="left" w:pos="3600"/>
          <w:tab w:val="left" w:pos="4020"/>
        </w:tabs>
        <w:spacing w:after="0"/>
        <w:ind w:left="2880" w:hanging="2880"/>
      </w:pPr>
      <w:r>
        <w:t>7,000 aedes egypti (AA) International Toxic Units (ITU) per mg of primary powder.</w:t>
      </w:r>
      <w:r w:rsidR="00D34C2A">
        <w:tab/>
      </w:r>
      <w:r w:rsidR="00D34C2A">
        <w:tab/>
      </w:r>
      <w:r w:rsidR="00471208">
        <w:tab/>
      </w:r>
      <w:r w:rsidR="00D34C2A">
        <w:tab/>
      </w:r>
    </w:p>
    <w:p w:rsidR="00471208" w:rsidRDefault="00471208" w:rsidP="00D41BA4">
      <w:pPr>
        <w:pBdr>
          <w:top w:val="single" w:sz="4" w:space="18" w:color="auto"/>
          <w:left w:val="single" w:sz="4" w:space="4" w:color="auto"/>
          <w:bottom w:val="single" w:sz="4" w:space="16" w:color="auto"/>
          <w:right w:val="single" w:sz="4" w:space="4" w:color="auto"/>
          <w:between w:val="single" w:sz="4" w:space="1" w:color="auto"/>
        </w:pBdr>
        <w:tabs>
          <w:tab w:val="left" w:pos="720"/>
          <w:tab w:val="left" w:pos="1440"/>
          <w:tab w:val="left" w:pos="2160"/>
          <w:tab w:val="left" w:pos="2880"/>
        </w:tabs>
        <w:spacing w:after="0"/>
        <w:ind w:left="2880" w:hanging="2880"/>
      </w:pPr>
      <w:r>
        <w:t>IARC Group</w:t>
      </w:r>
      <w:r>
        <w:tab/>
      </w:r>
      <w:r>
        <w:tab/>
      </w:r>
      <w:r>
        <w:tab/>
      </w:r>
      <w:r>
        <w:tab/>
      </w:r>
      <w:r>
        <w:tab/>
        <w:t>3- Not Classifiable</w:t>
      </w:r>
    </w:p>
    <w:p w:rsidR="00471208" w:rsidRDefault="00471208" w:rsidP="00471208">
      <w:pPr>
        <w:tabs>
          <w:tab w:val="left" w:pos="6000"/>
        </w:tabs>
        <w:spacing w:after="0"/>
      </w:pPr>
      <w:r>
        <w:t>Reproductive Toxicity</w:t>
      </w:r>
      <w:r>
        <w:tab/>
        <w:t>: Not Classified</w:t>
      </w:r>
    </w:p>
    <w:p w:rsidR="00471208" w:rsidRDefault="00471208" w:rsidP="00471208">
      <w:pPr>
        <w:tabs>
          <w:tab w:val="left" w:pos="6000"/>
        </w:tabs>
        <w:spacing w:after="0"/>
      </w:pPr>
      <w:r>
        <w:t>Specific Target Organ Toxicity (Single Exposure)</w:t>
      </w:r>
      <w:r>
        <w:tab/>
        <w:t>: Not Classified</w:t>
      </w:r>
    </w:p>
    <w:p w:rsidR="00471208" w:rsidRDefault="00471208" w:rsidP="00471208">
      <w:pPr>
        <w:tabs>
          <w:tab w:val="left" w:pos="6000"/>
        </w:tabs>
        <w:spacing w:after="0"/>
      </w:pPr>
      <w:r>
        <w:t>Specific Target Organ Toxicity (Repeated Exposure)</w:t>
      </w:r>
      <w:r>
        <w:tab/>
        <w:t>: Not Classified</w:t>
      </w:r>
    </w:p>
    <w:p w:rsidR="00471208" w:rsidRDefault="00471208" w:rsidP="00471208">
      <w:pPr>
        <w:tabs>
          <w:tab w:val="left" w:pos="6000"/>
        </w:tabs>
        <w:spacing w:after="0"/>
      </w:pPr>
      <w:r>
        <w:t>Aspiration Hazard</w:t>
      </w:r>
      <w:r>
        <w:tab/>
        <w:t>: Not Classified</w:t>
      </w:r>
    </w:p>
    <w:p w:rsidR="00471208" w:rsidRDefault="00471208" w:rsidP="00471208">
      <w:pPr>
        <w:tabs>
          <w:tab w:val="left" w:pos="6000"/>
        </w:tabs>
        <w:spacing w:after="0"/>
        <w:ind w:left="6000" w:hanging="6000"/>
      </w:pPr>
      <w:r>
        <w:t>Potential Adverse Human Health Effects and Symptoms</w:t>
      </w:r>
      <w:r>
        <w:tab/>
        <w:t>: Based on available date, the classification criteria are not met</w:t>
      </w:r>
    </w:p>
    <w:p w:rsidR="00471208" w:rsidRPr="006B1C10" w:rsidRDefault="00471208" w:rsidP="00471208">
      <w:pPr>
        <w:tabs>
          <w:tab w:val="left" w:pos="6000"/>
        </w:tabs>
        <w:spacing w:after="0"/>
        <w:ind w:left="6000" w:hanging="6000"/>
        <w:rPr>
          <w:b/>
        </w:rPr>
      </w:pPr>
      <w:r w:rsidRPr="006B1C10">
        <w:rPr>
          <w:b/>
          <w:shd w:val="clear" w:color="auto" w:fill="FF0000"/>
        </w:rPr>
        <w:t>SECTION 12: ECOLOGICAL INFORMATION</w:t>
      </w:r>
    </w:p>
    <w:p w:rsidR="00471208" w:rsidRPr="00EE2785" w:rsidRDefault="00471208" w:rsidP="00471208">
      <w:pPr>
        <w:tabs>
          <w:tab w:val="left" w:pos="6000"/>
        </w:tabs>
        <w:spacing w:after="0"/>
        <w:ind w:left="6000" w:hanging="6000"/>
        <w:rPr>
          <w:b/>
          <w:u w:val="single"/>
        </w:rPr>
      </w:pPr>
      <w:r w:rsidRPr="00EE2785">
        <w:rPr>
          <w:b/>
          <w:u w:val="single"/>
        </w:rPr>
        <w:t>12.1  Toxicity</w:t>
      </w:r>
    </w:p>
    <w:p w:rsidR="00471208" w:rsidRDefault="00471208" w:rsidP="00471208">
      <w:pPr>
        <w:tabs>
          <w:tab w:val="left" w:pos="6000"/>
        </w:tabs>
        <w:spacing w:after="0"/>
        <w:ind w:left="6000" w:hanging="6000"/>
      </w:pPr>
      <w:r>
        <w:t>No additional information available.</w:t>
      </w:r>
    </w:p>
    <w:p w:rsidR="00471208" w:rsidRPr="00EE2785" w:rsidRDefault="00471208" w:rsidP="00471208">
      <w:pPr>
        <w:tabs>
          <w:tab w:val="left" w:pos="6000"/>
        </w:tabs>
        <w:spacing w:after="0"/>
        <w:ind w:left="6000" w:hanging="6000"/>
        <w:rPr>
          <w:b/>
          <w:u w:val="single"/>
        </w:rPr>
      </w:pPr>
      <w:r w:rsidRPr="00EE2785">
        <w:rPr>
          <w:b/>
          <w:u w:val="single"/>
        </w:rPr>
        <w:t>12.2  Persistence and Degradability</w:t>
      </w:r>
    </w:p>
    <w:tbl>
      <w:tblPr>
        <w:tblStyle w:val="TableGrid"/>
        <w:tblW w:w="0" w:type="auto"/>
        <w:tblInd w:w="-365" w:type="dxa"/>
        <w:tblLook w:val="04A0" w:firstRow="1" w:lastRow="0" w:firstColumn="1" w:lastColumn="0" w:noHBand="0" w:noVBand="1"/>
      </w:tblPr>
      <w:tblGrid>
        <w:gridCol w:w="3420"/>
        <w:gridCol w:w="6295"/>
      </w:tblGrid>
      <w:tr w:rsidR="00471208" w:rsidTr="00BA1C8E">
        <w:tc>
          <w:tcPr>
            <w:tcW w:w="9715" w:type="dxa"/>
            <w:gridSpan w:val="2"/>
          </w:tcPr>
          <w:p w:rsidR="00471208" w:rsidRDefault="00222AF1" w:rsidP="00FA42A3">
            <w:pPr>
              <w:tabs>
                <w:tab w:val="left" w:pos="6000"/>
              </w:tabs>
            </w:pPr>
            <w:r>
              <w:t>Summit</w:t>
            </w:r>
            <w:r>
              <w:rPr>
                <w:rFonts w:ascii="Arial" w:hAnsi="Arial" w:cs="Arial"/>
              </w:rPr>
              <w:t>®</w:t>
            </w:r>
            <w:r>
              <w:t xml:space="preserve"> </w:t>
            </w:r>
            <w:r w:rsidR="00D41BA4">
              <w:t xml:space="preserve">Mosquito </w:t>
            </w:r>
            <w:r w:rsidR="00FA42A3">
              <w:t>Bits</w:t>
            </w:r>
            <w:r>
              <w:rPr>
                <w:rFonts w:ascii="Arial" w:hAnsi="Arial" w:cs="Arial"/>
              </w:rPr>
              <w:t>®</w:t>
            </w:r>
            <w:r>
              <w:t xml:space="preserve"> </w:t>
            </w:r>
          </w:p>
        </w:tc>
      </w:tr>
      <w:tr w:rsidR="00471208" w:rsidTr="00471208">
        <w:tc>
          <w:tcPr>
            <w:tcW w:w="3420" w:type="dxa"/>
          </w:tcPr>
          <w:p w:rsidR="00471208" w:rsidRDefault="00222AF1" w:rsidP="00471208">
            <w:pPr>
              <w:tabs>
                <w:tab w:val="left" w:pos="6000"/>
              </w:tabs>
            </w:pPr>
            <w:r>
              <w:t>Persistence and Degradability</w:t>
            </w:r>
          </w:p>
        </w:tc>
        <w:tc>
          <w:tcPr>
            <w:tcW w:w="6295" w:type="dxa"/>
          </w:tcPr>
          <w:p w:rsidR="00222AF1" w:rsidRDefault="00222AF1" w:rsidP="00471208">
            <w:pPr>
              <w:tabs>
                <w:tab w:val="left" w:pos="6000"/>
              </w:tabs>
            </w:pPr>
            <w:r>
              <w:t>Not Established</w:t>
            </w:r>
          </w:p>
        </w:tc>
      </w:tr>
    </w:tbl>
    <w:p w:rsidR="00222AF1" w:rsidRDefault="00222AF1" w:rsidP="00471208">
      <w:pPr>
        <w:tabs>
          <w:tab w:val="left" w:pos="6000"/>
        </w:tabs>
        <w:spacing w:after="0"/>
        <w:ind w:left="6000" w:hanging="6000"/>
      </w:pPr>
    </w:p>
    <w:tbl>
      <w:tblPr>
        <w:tblStyle w:val="TableGrid"/>
        <w:tblW w:w="0" w:type="auto"/>
        <w:tblInd w:w="-365" w:type="dxa"/>
        <w:tblLook w:val="04A0" w:firstRow="1" w:lastRow="0" w:firstColumn="1" w:lastColumn="0" w:noHBand="0" w:noVBand="1"/>
      </w:tblPr>
      <w:tblGrid>
        <w:gridCol w:w="3420"/>
        <w:gridCol w:w="6295"/>
      </w:tblGrid>
      <w:tr w:rsidR="007D2FD6" w:rsidTr="00020FFE">
        <w:tc>
          <w:tcPr>
            <w:tcW w:w="9715" w:type="dxa"/>
            <w:gridSpan w:val="2"/>
          </w:tcPr>
          <w:p w:rsidR="007D2FD6" w:rsidRDefault="00FA42A3" w:rsidP="007D2FD6">
            <w:pPr>
              <w:tabs>
                <w:tab w:val="left" w:pos="6000"/>
              </w:tabs>
            </w:pPr>
            <w:r>
              <w:t>Summit</w:t>
            </w:r>
            <w:r>
              <w:rPr>
                <w:rFonts w:ascii="Arial" w:hAnsi="Arial" w:cs="Arial"/>
              </w:rPr>
              <w:t>®</w:t>
            </w:r>
            <w:r>
              <w:t xml:space="preserve"> Mosquito Bits</w:t>
            </w:r>
            <w:r>
              <w:rPr>
                <w:rFonts w:ascii="Arial" w:hAnsi="Arial" w:cs="Arial"/>
              </w:rPr>
              <w:t>®</w:t>
            </w:r>
          </w:p>
        </w:tc>
      </w:tr>
      <w:tr w:rsidR="00222AF1" w:rsidTr="00222AF1">
        <w:tc>
          <w:tcPr>
            <w:tcW w:w="3420" w:type="dxa"/>
          </w:tcPr>
          <w:p w:rsidR="00222AF1" w:rsidRDefault="00222AF1" w:rsidP="00471208">
            <w:pPr>
              <w:tabs>
                <w:tab w:val="left" w:pos="6000"/>
              </w:tabs>
            </w:pPr>
            <w:r>
              <w:t>Persistence and Degradability</w:t>
            </w:r>
          </w:p>
        </w:tc>
        <w:tc>
          <w:tcPr>
            <w:tcW w:w="6295" w:type="dxa"/>
          </w:tcPr>
          <w:p w:rsidR="00222AF1" w:rsidRDefault="00222AF1" w:rsidP="007D2FD6">
            <w:pPr>
              <w:tabs>
                <w:tab w:val="left" w:pos="6000"/>
              </w:tabs>
            </w:pPr>
            <w:r>
              <w:t>Contains readily biodegradable component(s)</w:t>
            </w:r>
          </w:p>
        </w:tc>
      </w:tr>
    </w:tbl>
    <w:p w:rsidR="00222AF1" w:rsidRDefault="00222AF1" w:rsidP="00222AF1">
      <w:pPr>
        <w:tabs>
          <w:tab w:val="left" w:pos="6000"/>
        </w:tabs>
        <w:spacing w:after="0"/>
      </w:pPr>
    </w:p>
    <w:p w:rsidR="00222AF1" w:rsidRPr="006B1C10" w:rsidRDefault="00222AF1" w:rsidP="00222AF1">
      <w:pPr>
        <w:tabs>
          <w:tab w:val="left" w:pos="6000"/>
        </w:tabs>
        <w:spacing w:after="0"/>
        <w:rPr>
          <w:b/>
        </w:rPr>
      </w:pPr>
      <w:r w:rsidRPr="00EE2785">
        <w:rPr>
          <w:b/>
          <w:u w:val="single"/>
        </w:rPr>
        <w:t>12.3  Bioaccumulative Poten</w:t>
      </w:r>
      <w:r w:rsidRPr="00EE2785">
        <w:rPr>
          <w:b/>
        </w:rPr>
        <w:t>tial</w:t>
      </w:r>
    </w:p>
    <w:tbl>
      <w:tblPr>
        <w:tblStyle w:val="TableGrid"/>
        <w:tblW w:w="0" w:type="auto"/>
        <w:tblInd w:w="-365" w:type="dxa"/>
        <w:tblLook w:val="04A0" w:firstRow="1" w:lastRow="0" w:firstColumn="1" w:lastColumn="0" w:noHBand="0" w:noVBand="1"/>
      </w:tblPr>
      <w:tblGrid>
        <w:gridCol w:w="3420"/>
        <w:gridCol w:w="6295"/>
      </w:tblGrid>
      <w:tr w:rsidR="00222AF1" w:rsidTr="006E1784">
        <w:tc>
          <w:tcPr>
            <w:tcW w:w="9715" w:type="dxa"/>
            <w:gridSpan w:val="2"/>
          </w:tcPr>
          <w:p w:rsidR="00222AF1" w:rsidRDefault="00FA42A3" w:rsidP="00222AF1">
            <w:pPr>
              <w:tabs>
                <w:tab w:val="left" w:pos="6000"/>
              </w:tabs>
            </w:pPr>
            <w:r>
              <w:t>Summit</w:t>
            </w:r>
            <w:r>
              <w:rPr>
                <w:rFonts w:ascii="Arial" w:hAnsi="Arial" w:cs="Arial"/>
              </w:rPr>
              <w:t>®</w:t>
            </w:r>
            <w:r>
              <w:t xml:space="preserve"> Mosquito Bits</w:t>
            </w:r>
            <w:r>
              <w:rPr>
                <w:rFonts w:ascii="Arial" w:hAnsi="Arial" w:cs="Arial"/>
              </w:rPr>
              <w:t>®</w:t>
            </w:r>
          </w:p>
        </w:tc>
      </w:tr>
      <w:tr w:rsidR="00222AF1" w:rsidTr="00222AF1">
        <w:tc>
          <w:tcPr>
            <w:tcW w:w="3420" w:type="dxa"/>
          </w:tcPr>
          <w:p w:rsidR="00222AF1" w:rsidRDefault="00222AF1" w:rsidP="00222AF1">
            <w:pPr>
              <w:tabs>
                <w:tab w:val="left" w:pos="6000"/>
              </w:tabs>
            </w:pPr>
            <w:r>
              <w:t>Bioaccumulative Potential</w:t>
            </w:r>
          </w:p>
        </w:tc>
        <w:tc>
          <w:tcPr>
            <w:tcW w:w="6295" w:type="dxa"/>
          </w:tcPr>
          <w:p w:rsidR="00222AF1" w:rsidRDefault="00222AF1" w:rsidP="00222AF1">
            <w:pPr>
              <w:tabs>
                <w:tab w:val="left" w:pos="6000"/>
              </w:tabs>
            </w:pPr>
            <w:r>
              <w:t>Not established</w:t>
            </w:r>
          </w:p>
        </w:tc>
      </w:tr>
    </w:tbl>
    <w:p w:rsidR="00222AF1" w:rsidRDefault="00222AF1" w:rsidP="00222AF1">
      <w:pPr>
        <w:tabs>
          <w:tab w:val="left" w:pos="6000"/>
        </w:tabs>
        <w:spacing w:after="0"/>
      </w:pPr>
    </w:p>
    <w:tbl>
      <w:tblPr>
        <w:tblStyle w:val="TableGrid"/>
        <w:tblW w:w="0" w:type="auto"/>
        <w:tblInd w:w="-365" w:type="dxa"/>
        <w:tblLook w:val="04A0" w:firstRow="1" w:lastRow="0" w:firstColumn="1" w:lastColumn="0" w:noHBand="0" w:noVBand="1"/>
      </w:tblPr>
      <w:tblGrid>
        <w:gridCol w:w="3420"/>
        <w:gridCol w:w="6295"/>
      </w:tblGrid>
      <w:tr w:rsidR="00222AF1" w:rsidTr="00C930D0">
        <w:tc>
          <w:tcPr>
            <w:tcW w:w="9715" w:type="dxa"/>
            <w:gridSpan w:val="2"/>
          </w:tcPr>
          <w:p w:rsidR="00222AF1" w:rsidRDefault="00FA42A3" w:rsidP="00222AF1">
            <w:pPr>
              <w:tabs>
                <w:tab w:val="left" w:pos="6000"/>
              </w:tabs>
            </w:pPr>
            <w:r>
              <w:t>Summit</w:t>
            </w:r>
            <w:r>
              <w:rPr>
                <w:rFonts w:ascii="Arial" w:hAnsi="Arial" w:cs="Arial"/>
              </w:rPr>
              <w:t>®</w:t>
            </w:r>
            <w:r>
              <w:t xml:space="preserve"> Mosquito Bits</w:t>
            </w:r>
            <w:r>
              <w:rPr>
                <w:rFonts w:ascii="Arial" w:hAnsi="Arial" w:cs="Arial"/>
              </w:rPr>
              <w:t>®</w:t>
            </w:r>
          </w:p>
        </w:tc>
      </w:tr>
      <w:tr w:rsidR="00222AF1" w:rsidTr="00222AF1">
        <w:tc>
          <w:tcPr>
            <w:tcW w:w="3420" w:type="dxa"/>
          </w:tcPr>
          <w:p w:rsidR="00222AF1" w:rsidRDefault="00222AF1" w:rsidP="00222AF1">
            <w:pPr>
              <w:tabs>
                <w:tab w:val="left" w:pos="6000"/>
              </w:tabs>
            </w:pPr>
            <w:r>
              <w:t>Bioaccumulative Potential</w:t>
            </w:r>
          </w:p>
        </w:tc>
        <w:tc>
          <w:tcPr>
            <w:tcW w:w="6295" w:type="dxa"/>
          </w:tcPr>
          <w:p w:rsidR="00222AF1" w:rsidRDefault="00222AF1" w:rsidP="00222AF1">
            <w:pPr>
              <w:tabs>
                <w:tab w:val="left" w:pos="6000"/>
              </w:tabs>
            </w:pPr>
            <w:r>
              <w:t>No bioaccumulation data available.</w:t>
            </w:r>
          </w:p>
        </w:tc>
      </w:tr>
    </w:tbl>
    <w:p w:rsidR="00222AF1" w:rsidRDefault="00222AF1" w:rsidP="00222AF1">
      <w:pPr>
        <w:tabs>
          <w:tab w:val="left" w:pos="6000"/>
        </w:tabs>
        <w:spacing w:after="0"/>
      </w:pPr>
    </w:p>
    <w:p w:rsidR="00222AF1" w:rsidRPr="00EE2785" w:rsidRDefault="00222AF1" w:rsidP="00222AF1">
      <w:pPr>
        <w:tabs>
          <w:tab w:val="left" w:pos="6000"/>
        </w:tabs>
        <w:spacing w:after="0"/>
        <w:rPr>
          <w:b/>
          <w:u w:val="single"/>
        </w:rPr>
      </w:pPr>
      <w:r w:rsidRPr="00EE2785">
        <w:rPr>
          <w:b/>
          <w:u w:val="single"/>
        </w:rPr>
        <w:t>12.4  Mobility in Soil</w:t>
      </w:r>
    </w:p>
    <w:p w:rsidR="00222AF1" w:rsidRDefault="00222AF1" w:rsidP="00222AF1">
      <w:pPr>
        <w:tabs>
          <w:tab w:val="left" w:pos="6000"/>
        </w:tabs>
        <w:spacing w:after="0"/>
      </w:pPr>
      <w:r>
        <w:t>No additional information available</w:t>
      </w:r>
    </w:p>
    <w:p w:rsidR="00222AF1" w:rsidRDefault="00222AF1" w:rsidP="00222AF1">
      <w:pPr>
        <w:tabs>
          <w:tab w:val="left" w:pos="6000"/>
        </w:tabs>
        <w:spacing w:after="0"/>
      </w:pPr>
    </w:p>
    <w:p w:rsidR="00222AF1" w:rsidRPr="00EE2785" w:rsidRDefault="00222AF1" w:rsidP="00222AF1">
      <w:pPr>
        <w:tabs>
          <w:tab w:val="left" w:pos="6000"/>
        </w:tabs>
        <w:spacing w:after="0"/>
        <w:rPr>
          <w:b/>
          <w:u w:val="single"/>
        </w:rPr>
      </w:pPr>
      <w:r w:rsidRPr="00EE2785">
        <w:rPr>
          <w:b/>
          <w:u w:val="single"/>
        </w:rPr>
        <w:t>12.5  Other Adverse Effects</w:t>
      </w:r>
    </w:p>
    <w:p w:rsidR="00471208" w:rsidRDefault="00222AF1" w:rsidP="00222AF1">
      <w:pPr>
        <w:tabs>
          <w:tab w:val="left" w:pos="6000"/>
        </w:tabs>
        <w:spacing w:after="0"/>
      </w:pPr>
      <w:r>
        <w:t>Other Information</w:t>
      </w:r>
      <w:r>
        <w:tab/>
        <w:t>: Avoid release to the environment.</w:t>
      </w:r>
      <w:r w:rsidR="00471208">
        <w:tab/>
      </w:r>
    </w:p>
    <w:p w:rsidR="00222AF1" w:rsidRDefault="00222AF1" w:rsidP="00222AF1">
      <w:pPr>
        <w:tabs>
          <w:tab w:val="left" w:pos="6000"/>
        </w:tabs>
        <w:spacing w:after="0"/>
      </w:pPr>
    </w:p>
    <w:p w:rsidR="00222AF1" w:rsidRPr="006B1C10" w:rsidRDefault="00222AF1" w:rsidP="00222AF1">
      <w:pPr>
        <w:tabs>
          <w:tab w:val="left" w:pos="6000"/>
        </w:tabs>
        <w:spacing w:after="0"/>
        <w:rPr>
          <w:b/>
        </w:rPr>
      </w:pPr>
      <w:r w:rsidRPr="006B1C10">
        <w:rPr>
          <w:highlight w:val="red"/>
        </w:rPr>
        <w:t>SECTION 13: DISPOSAL CONSIDERATIONS</w:t>
      </w:r>
    </w:p>
    <w:p w:rsidR="00222AF1" w:rsidRPr="00EE2785" w:rsidRDefault="00222AF1" w:rsidP="00222AF1">
      <w:pPr>
        <w:tabs>
          <w:tab w:val="left" w:pos="6000"/>
        </w:tabs>
        <w:spacing w:after="0"/>
        <w:rPr>
          <w:b/>
          <w:u w:val="single"/>
        </w:rPr>
      </w:pPr>
      <w:r w:rsidRPr="00EE2785">
        <w:rPr>
          <w:b/>
          <w:u w:val="single"/>
        </w:rPr>
        <w:t>13.1  Waste Treatment Methods</w:t>
      </w:r>
    </w:p>
    <w:p w:rsidR="00222AF1" w:rsidRDefault="00222AF1" w:rsidP="00222AF1">
      <w:pPr>
        <w:tabs>
          <w:tab w:val="left" w:pos="6000"/>
        </w:tabs>
        <w:spacing w:after="0"/>
      </w:pPr>
      <w:r>
        <w:t>Waste Disposal Recommendations</w:t>
      </w:r>
      <w:r>
        <w:tab/>
        <w:t>:Dispose in a safe manner in</w:t>
      </w:r>
    </w:p>
    <w:p w:rsidR="00222AF1" w:rsidRDefault="00222AF1" w:rsidP="00222AF1">
      <w:pPr>
        <w:tabs>
          <w:tab w:val="left" w:pos="6000"/>
        </w:tabs>
        <w:spacing w:after="0"/>
      </w:pPr>
      <w:r>
        <w:tab/>
        <w:t>accordance with local/national</w:t>
      </w:r>
    </w:p>
    <w:p w:rsidR="00222AF1" w:rsidRDefault="00222AF1" w:rsidP="00222AF1">
      <w:pPr>
        <w:tabs>
          <w:tab w:val="left" w:pos="6000"/>
        </w:tabs>
        <w:spacing w:after="0"/>
      </w:pPr>
      <w:r>
        <w:tab/>
        <w:t>regulations.</w:t>
      </w:r>
    </w:p>
    <w:p w:rsidR="00222AF1" w:rsidRDefault="00222AF1" w:rsidP="00222AF1">
      <w:pPr>
        <w:tabs>
          <w:tab w:val="left" w:pos="6000"/>
        </w:tabs>
        <w:spacing w:after="0"/>
      </w:pPr>
      <w:r>
        <w:lastRenderedPageBreak/>
        <w:t>Ecology – Waste Materials</w:t>
      </w:r>
      <w:r>
        <w:tab/>
        <w:t>: Avoid Release into the environment</w:t>
      </w:r>
    </w:p>
    <w:p w:rsidR="00222AF1" w:rsidRDefault="00222AF1" w:rsidP="00222AF1">
      <w:pPr>
        <w:tabs>
          <w:tab w:val="left" w:pos="6000"/>
        </w:tabs>
        <w:spacing w:after="0"/>
      </w:pPr>
    </w:p>
    <w:p w:rsidR="00222AF1" w:rsidRPr="006B1C10" w:rsidRDefault="00222AF1" w:rsidP="00222AF1">
      <w:pPr>
        <w:tabs>
          <w:tab w:val="left" w:pos="6000"/>
        </w:tabs>
        <w:spacing w:after="0"/>
        <w:rPr>
          <w:b/>
        </w:rPr>
      </w:pPr>
      <w:r w:rsidRPr="00EE2785">
        <w:rPr>
          <w:b/>
          <w:highlight w:val="red"/>
        </w:rPr>
        <w:t>SECTION 14: TRANSPORT INFORMATION</w:t>
      </w:r>
    </w:p>
    <w:p w:rsidR="00222AF1" w:rsidRPr="006B1C10" w:rsidRDefault="00222AF1" w:rsidP="00222AF1">
      <w:pPr>
        <w:tabs>
          <w:tab w:val="left" w:pos="6000"/>
        </w:tabs>
        <w:spacing w:after="0"/>
        <w:rPr>
          <w:b/>
        </w:rPr>
      </w:pPr>
      <w:r w:rsidRPr="006B1C10">
        <w:rPr>
          <w:b/>
        </w:rPr>
        <w:t>In accordance with DOT</w:t>
      </w:r>
    </w:p>
    <w:p w:rsidR="00222AF1" w:rsidRPr="006B1C10" w:rsidRDefault="00222AF1" w:rsidP="00222AF1">
      <w:pPr>
        <w:tabs>
          <w:tab w:val="left" w:pos="6000"/>
        </w:tabs>
        <w:spacing w:after="0"/>
        <w:rPr>
          <w:b/>
        </w:rPr>
      </w:pPr>
      <w:r w:rsidRPr="006B1C10">
        <w:rPr>
          <w:b/>
        </w:rPr>
        <w:t>Non dangerous good in sense of transport regulations</w:t>
      </w:r>
    </w:p>
    <w:p w:rsidR="00222AF1" w:rsidRPr="006B1C10" w:rsidRDefault="00222AF1" w:rsidP="00222AF1">
      <w:pPr>
        <w:tabs>
          <w:tab w:val="left" w:pos="6000"/>
        </w:tabs>
        <w:spacing w:after="0"/>
        <w:rPr>
          <w:b/>
        </w:rPr>
      </w:pPr>
      <w:r w:rsidRPr="006B1C10">
        <w:rPr>
          <w:b/>
        </w:rPr>
        <w:t>Additional Information</w:t>
      </w:r>
    </w:p>
    <w:p w:rsidR="00222AF1" w:rsidRDefault="00222AF1" w:rsidP="00222AF1">
      <w:pPr>
        <w:tabs>
          <w:tab w:val="left" w:pos="6000"/>
        </w:tabs>
        <w:spacing w:after="0"/>
      </w:pPr>
      <w:r w:rsidRPr="006B1C10">
        <w:rPr>
          <w:b/>
        </w:rPr>
        <w:t>Other information</w:t>
      </w:r>
      <w:r>
        <w:tab/>
        <w:t>: No supplementary information</w:t>
      </w:r>
    </w:p>
    <w:p w:rsidR="00222AF1" w:rsidRDefault="00222AF1" w:rsidP="00222AF1">
      <w:pPr>
        <w:tabs>
          <w:tab w:val="left" w:pos="6000"/>
        </w:tabs>
        <w:spacing w:after="0"/>
      </w:pPr>
      <w:r>
        <w:tab/>
        <w:t>Available</w:t>
      </w:r>
    </w:p>
    <w:p w:rsidR="00222AF1" w:rsidRPr="006B1C10" w:rsidRDefault="00222AF1" w:rsidP="00222AF1">
      <w:pPr>
        <w:tabs>
          <w:tab w:val="left" w:pos="6000"/>
        </w:tabs>
        <w:spacing w:after="0"/>
        <w:rPr>
          <w:b/>
        </w:rPr>
      </w:pPr>
      <w:r w:rsidRPr="006B1C10">
        <w:rPr>
          <w:b/>
        </w:rPr>
        <w:t>ADR</w:t>
      </w:r>
    </w:p>
    <w:p w:rsidR="00222AF1" w:rsidRDefault="00222AF1" w:rsidP="00222AF1">
      <w:pPr>
        <w:tabs>
          <w:tab w:val="left" w:pos="6000"/>
        </w:tabs>
        <w:spacing w:after="0"/>
      </w:pPr>
      <w:r>
        <w:t>Transport document description</w:t>
      </w:r>
    </w:p>
    <w:p w:rsidR="00222AF1" w:rsidRDefault="00222AF1" w:rsidP="00222AF1">
      <w:pPr>
        <w:tabs>
          <w:tab w:val="left" w:pos="6000"/>
        </w:tabs>
        <w:spacing w:after="0"/>
      </w:pPr>
      <w:r>
        <w:t xml:space="preserve">Transport </w:t>
      </w:r>
      <w:r w:rsidR="003425AD">
        <w:t>b</w:t>
      </w:r>
      <w:r>
        <w:t>y Sea</w:t>
      </w:r>
    </w:p>
    <w:p w:rsidR="00222AF1" w:rsidRDefault="003425AD" w:rsidP="00222AF1">
      <w:pPr>
        <w:tabs>
          <w:tab w:val="left" w:pos="6000"/>
        </w:tabs>
        <w:spacing w:after="0"/>
      </w:pPr>
      <w:r>
        <w:t>No additional information available.</w:t>
      </w:r>
    </w:p>
    <w:p w:rsidR="003425AD" w:rsidRDefault="003425AD" w:rsidP="00222AF1">
      <w:pPr>
        <w:tabs>
          <w:tab w:val="left" w:pos="6000"/>
        </w:tabs>
        <w:spacing w:after="0"/>
      </w:pPr>
      <w:r>
        <w:t>Air Transport</w:t>
      </w:r>
    </w:p>
    <w:p w:rsidR="003425AD" w:rsidRDefault="003425AD" w:rsidP="003425AD">
      <w:pPr>
        <w:tabs>
          <w:tab w:val="left" w:pos="6000"/>
        </w:tabs>
        <w:spacing w:after="0"/>
      </w:pPr>
      <w:r>
        <w:t>No additional information available.</w:t>
      </w:r>
    </w:p>
    <w:p w:rsidR="003425AD" w:rsidRPr="00EE2785" w:rsidRDefault="003425AD" w:rsidP="003425AD">
      <w:pPr>
        <w:tabs>
          <w:tab w:val="left" w:pos="6000"/>
        </w:tabs>
        <w:spacing w:after="0"/>
        <w:rPr>
          <w:b/>
        </w:rPr>
      </w:pPr>
      <w:r w:rsidRPr="00EE2785">
        <w:rPr>
          <w:b/>
          <w:highlight w:val="red"/>
        </w:rPr>
        <w:t>SECTION 15: REGULATORY INFORMATION</w:t>
      </w:r>
    </w:p>
    <w:p w:rsidR="003425AD" w:rsidRDefault="001A3B89" w:rsidP="003425AD">
      <w:pPr>
        <w:tabs>
          <w:tab w:val="left" w:pos="6000"/>
        </w:tabs>
        <w:spacing w:after="0"/>
      </w:pPr>
      <w:r>
        <w:t>This chemical is a product registered by the Environmental Protection Agency and is subject to certain labeling requirements under federal pesticide law. These requirements differ from the classification criteria and hazard information required for safety data sheets, and for workplace labels of non-pesticide chemicals. Following is the hazard information as required on the pesticide label.</w:t>
      </w:r>
    </w:p>
    <w:p w:rsidR="001A3B89" w:rsidRDefault="001A3B89" w:rsidP="003425AD">
      <w:pPr>
        <w:tabs>
          <w:tab w:val="left" w:pos="6000"/>
        </w:tabs>
        <w:spacing w:after="0"/>
      </w:pPr>
    </w:p>
    <w:p w:rsidR="001A3B89" w:rsidRPr="006B1C10" w:rsidRDefault="001A3B89" w:rsidP="003425AD">
      <w:pPr>
        <w:tabs>
          <w:tab w:val="left" w:pos="6000"/>
        </w:tabs>
        <w:spacing w:after="0"/>
        <w:rPr>
          <w:b/>
        </w:rPr>
      </w:pPr>
      <w:r w:rsidRPr="006B1C10">
        <w:rPr>
          <w:b/>
        </w:rPr>
        <w:t>CAUTION: KEEP OUT OF REACH OF CHILDREN</w:t>
      </w:r>
    </w:p>
    <w:p w:rsidR="001A3B89" w:rsidRDefault="001A3B89" w:rsidP="003425AD">
      <w:pPr>
        <w:tabs>
          <w:tab w:val="left" w:pos="6000"/>
        </w:tabs>
        <w:spacing w:after="0"/>
      </w:pPr>
      <w:r>
        <w:t>Causes moderate eye irritation.</w:t>
      </w:r>
    </w:p>
    <w:p w:rsidR="001A3B89" w:rsidRDefault="001A3B89" w:rsidP="003425AD">
      <w:pPr>
        <w:tabs>
          <w:tab w:val="left" w:pos="6000"/>
        </w:tabs>
        <w:spacing w:after="0"/>
      </w:pPr>
    </w:p>
    <w:p w:rsidR="001A3B89" w:rsidRPr="00EE2785" w:rsidRDefault="001A3B89" w:rsidP="003425AD">
      <w:pPr>
        <w:tabs>
          <w:tab w:val="left" w:pos="6000"/>
        </w:tabs>
        <w:spacing w:after="0"/>
        <w:rPr>
          <w:b/>
          <w:u w:val="single"/>
        </w:rPr>
      </w:pPr>
      <w:r w:rsidRPr="00EE2785">
        <w:rPr>
          <w:b/>
          <w:u w:val="single"/>
        </w:rPr>
        <w:t>15.1 US Federal Regulations</w:t>
      </w:r>
    </w:p>
    <w:tbl>
      <w:tblPr>
        <w:tblStyle w:val="TableGrid"/>
        <w:tblW w:w="0" w:type="auto"/>
        <w:tblLook w:val="04A0" w:firstRow="1" w:lastRow="0" w:firstColumn="1" w:lastColumn="0" w:noHBand="0" w:noVBand="1"/>
      </w:tblPr>
      <w:tblGrid>
        <w:gridCol w:w="9350"/>
      </w:tblGrid>
      <w:tr w:rsidR="002319B7" w:rsidTr="00D17AB7">
        <w:tc>
          <w:tcPr>
            <w:tcW w:w="9350" w:type="dxa"/>
          </w:tcPr>
          <w:p w:rsidR="002319B7" w:rsidRDefault="00FA42A3" w:rsidP="003425AD">
            <w:pPr>
              <w:tabs>
                <w:tab w:val="left" w:pos="6000"/>
              </w:tabs>
            </w:pPr>
            <w:r>
              <w:t>Summit</w:t>
            </w:r>
            <w:r>
              <w:rPr>
                <w:rFonts w:ascii="Arial" w:hAnsi="Arial" w:cs="Arial"/>
              </w:rPr>
              <w:t>®</w:t>
            </w:r>
            <w:r>
              <w:t xml:space="preserve"> Mosquito Bits</w:t>
            </w:r>
            <w:r>
              <w:rPr>
                <w:rFonts w:ascii="Arial" w:hAnsi="Arial" w:cs="Arial"/>
              </w:rPr>
              <w:t>®</w:t>
            </w:r>
          </w:p>
        </w:tc>
      </w:tr>
      <w:tr w:rsidR="002319B7" w:rsidTr="00C324BE">
        <w:tc>
          <w:tcPr>
            <w:tcW w:w="9350" w:type="dxa"/>
          </w:tcPr>
          <w:p w:rsidR="002319B7" w:rsidRDefault="002319B7" w:rsidP="003425AD">
            <w:pPr>
              <w:tabs>
                <w:tab w:val="left" w:pos="6000"/>
              </w:tabs>
            </w:pPr>
            <w:r>
              <w:t>Not listed on the United States TSCA (Toxic Substances Control Act) Inventory</w:t>
            </w:r>
          </w:p>
        </w:tc>
      </w:tr>
    </w:tbl>
    <w:p w:rsidR="001A3B89" w:rsidRDefault="001A3B89" w:rsidP="003425AD">
      <w:pPr>
        <w:tabs>
          <w:tab w:val="left" w:pos="6000"/>
        </w:tabs>
        <w:spacing w:after="0"/>
      </w:pPr>
    </w:p>
    <w:tbl>
      <w:tblPr>
        <w:tblStyle w:val="TableGrid"/>
        <w:tblW w:w="0" w:type="auto"/>
        <w:tblLook w:val="04A0" w:firstRow="1" w:lastRow="0" w:firstColumn="1" w:lastColumn="0" w:noHBand="0" w:noVBand="1"/>
      </w:tblPr>
      <w:tblGrid>
        <w:gridCol w:w="9350"/>
      </w:tblGrid>
      <w:tr w:rsidR="002319B7" w:rsidTr="002319B7">
        <w:tc>
          <w:tcPr>
            <w:tcW w:w="9350" w:type="dxa"/>
          </w:tcPr>
          <w:p w:rsidR="002319B7" w:rsidRDefault="00FA42A3" w:rsidP="003425AD">
            <w:pPr>
              <w:tabs>
                <w:tab w:val="left" w:pos="6000"/>
              </w:tabs>
            </w:pPr>
            <w:r>
              <w:t>Summit</w:t>
            </w:r>
            <w:r>
              <w:rPr>
                <w:rFonts w:ascii="Arial" w:hAnsi="Arial" w:cs="Arial"/>
              </w:rPr>
              <w:t>®</w:t>
            </w:r>
            <w:r>
              <w:t xml:space="preserve"> Mosquito Bits</w:t>
            </w:r>
            <w:r>
              <w:rPr>
                <w:rFonts w:ascii="Arial" w:hAnsi="Arial" w:cs="Arial"/>
              </w:rPr>
              <w:t>®</w:t>
            </w:r>
          </w:p>
        </w:tc>
      </w:tr>
      <w:tr w:rsidR="002319B7" w:rsidTr="002319B7">
        <w:tc>
          <w:tcPr>
            <w:tcW w:w="9350" w:type="dxa"/>
          </w:tcPr>
          <w:p w:rsidR="002319B7" w:rsidRDefault="002319B7" w:rsidP="003425AD">
            <w:pPr>
              <w:tabs>
                <w:tab w:val="left" w:pos="6000"/>
              </w:tabs>
            </w:pPr>
            <w:r>
              <w:t>Not listed on the United States TSCA (Toxic Substances Control Act) Inventory</w:t>
            </w:r>
          </w:p>
        </w:tc>
      </w:tr>
    </w:tbl>
    <w:p w:rsidR="002319B7" w:rsidRDefault="002319B7" w:rsidP="003425AD">
      <w:pPr>
        <w:tabs>
          <w:tab w:val="left" w:pos="6000"/>
        </w:tabs>
        <w:spacing w:after="0"/>
      </w:pPr>
    </w:p>
    <w:p w:rsidR="003425AD" w:rsidRPr="00EE2785" w:rsidRDefault="002319B7" w:rsidP="00222AF1">
      <w:pPr>
        <w:tabs>
          <w:tab w:val="left" w:pos="6000"/>
        </w:tabs>
        <w:spacing w:after="0"/>
        <w:rPr>
          <w:b/>
          <w:u w:val="single"/>
        </w:rPr>
      </w:pPr>
      <w:r w:rsidRPr="00EE2785">
        <w:rPr>
          <w:b/>
          <w:u w:val="single"/>
        </w:rPr>
        <w:t>15.2 International Regulations</w:t>
      </w:r>
    </w:p>
    <w:p w:rsidR="002319B7" w:rsidRPr="006B1C10" w:rsidRDefault="002319B7" w:rsidP="00222AF1">
      <w:pPr>
        <w:tabs>
          <w:tab w:val="left" w:pos="6000"/>
        </w:tabs>
        <w:spacing w:after="0"/>
        <w:rPr>
          <w:b/>
        </w:rPr>
      </w:pPr>
      <w:r w:rsidRPr="006B1C10">
        <w:rPr>
          <w:b/>
        </w:rPr>
        <w:t>CANADA</w:t>
      </w:r>
    </w:p>
    <w:p w:rsidR="002319B7" w:rsidRDefault="002319B7" w:rsidP="00222AF1">
      <w:pPr>
        <w:tabs>
          <w:tab w:val="left" w:pos="6000"/>
        </w:tabs>
        <w:spacing w:after="0"/>
      </w:pPr>
      <w:r>
        <w:t>No Additional Information Available</w:t>
      </w:r>
    </w:p>
    <w:p w:rsidR="002319B7" w:rsidRDefault="002319B7" w:rsidP="00222AF1">
      <w:pPr>
        <w:tabs>
          <w:tab w:val="left" w:pos="6000"/>
        </w:tabs>
        <w:spacing w:after="0"/>
      </w:pPr>
    </w:p>
    <w:p w:rsidR="002319B7" w:rsidRPr="006B1C10" w:rsidRDefault="002319B7" w:rsidP="00222AF1">
      <w:pPr>
        <w:tabs>
          <w:tab w:val="left" w:pos="6000"/>
        </w:tabs>
        <w:spacing w:after="0"/>
        <w:rPr>
          <w:b/>
        </w:rPr>
      </w:pPr>
      <w:r w:rsidRPr="006B1C10">
        <w:rPr>
          <w:b/>
        </w:rPr>
        <w:t>EU-Regulations</w:t>
      </w:r>
    </w:p>
    <w:p w:rsidR="002319B7" w:rsidRDefault="002319B7" w:rsidP="00222AF1">
      <w:pPr>
        <w:tabs>
          <w:tab w:val="left" w:pos="6000"/>
        </w:tabs>
        <w:spacing w:after="0"/>
      </w:pPr>
      <w:r>
        <w:t>No Additional Information Available</w:t>
      </w:r>
    </w:p>
    <w:p w:rsidR="002319B7" w:rsidRDefault="002319B7" w:rsidP="00222AF1">
      <w:pPr>
        <w:tabs>
          <w:tab w:val="left" w:pos="6000"/>
        </w:tabs>
        <w:spacing w:after="0"/>
      </w:pPr>
    </w:p>
    <w:p w:rsidR="002319B7" w:rsidRPr="006B1C10" w:rsidRDefault="002319B7" w:rsidP="00222AF1">
      <w:pPr>
        <w:tabs>
          <w:tab w:val="left" w:pos="6000"/>
        </w:tabs>
        <w:spacing w:after="0"/>
        <w:rPr>
          <w:b/>
        </w:rPr>
      </w:pPr>
      <w:r w:rsidRPr="006B1C10">
        <w:rPr>
          <w:b/>
        </w:rPr>
        <w:t>Classification according to Regulation (EC) No. 1272/2008 [CLP]</w:t>
      </w:r>
    </w:p>
    <w:p w:rsidR="002319B7" w:rsidRPr="006B1C10" w:rsidRDefault="002319B7" w:rsidP="00222AF1">
      <w:pPr>
        <w:tabs>
          <w:tab w:val="left" w:pos="6000"/>
        </w:tabs>
        <w:spacing w:after="0"/>
        <w:rPr>
          <w:b/>
        </w:rPr>
      </w:pPr>
      <w:r w:rsidRPr="006B1C10">
        <w:rPr>
          <w:b/>
        </w:rPr>
        <w:t>Classification according to Directive 67/548/EEC or 1999/45/EC</w:t>
      </w:r>
    </w:p>
    <w:p w:rsidR="002319B7" w:rsidRDefault="002319B7" w:rsidP="00222AF1">
      <w:pPr>
        <w:tabs>
          <w:tab w:val="left" w:pos="6000"/>
        </w:tabs>
        <w:spacing w:after="0"/>
      </w:pPr>
      <w:r>
        <w:t>Not classified</w:t>
      </w:r>
    </w:p>
    <w:p w:rsidR="002319B7" w:rsidRDefault="002319B7" w:rsidP="00222AF1">
      <w:pPr>
        <w:tabs>
          <w:tab w:val="left" w:pos="6000"/>
        </w:tabs>
        <w:spacing w:after="0"/>
      </w:pPr>
    </w:p>
    <w:p w:rsidR="002319B7" w:rsidRPr="00EE2785" w:rsidRDefault="002319B7" w:rsidP="00222AF1">
      <w:pPr>
        <w:tabs>
          <w:tab w:val="left" w:pos="6000"/>
        </w:tabs>
        <w:spacing w:after="0"/>
        <w:rPr>
          <w:b/>
          <w:u w:val="single"/>
        </w:rPr>
      </w:pPr>
      <w:r w:rsidRPr="00EE2785">
        <w:rPr>
          <w:b/>
          <w:u w:val="single"/>
        </w:rPr>
        <w:t>15.3 US State Regulations</w:t>
      </w:r>
    </w:p>
    <w:tbl>
      <w:tblPr>
        <w:tblStyle w:val="TableGrid"/>
        <w:tblW w:w="0" w:type="auto"/>
        <w:tblLook w:val="04A0" w:firstRow="1" w:lastRow="0" w:firstColumn="1" w:lastColumn="0" w:noHBand="0" w:noVBand="1"/>
      </w:tblPr>
      <w:tblGrid>
        <w:gridCol w:w="9350"/>
      </w:tblGrid>
      <w:tr w:rsidR="002319B7" w:rsidTr="002319B7">
        <w:tc>
          <w:tcPr>
            <w:tcW w:w="9350" w:type="dxa"/>
          </w:tcPr>
          <w:p w:rsidR="002319B7" w:rsidRDefault="00FA42A3" w:rsidP="00222AF1">
            <w:pPr>
              <w:tabs>
                <w:tab w:val="left" w:pos="6000"/>
              </w:tabs>
            </w:pPr>
            <w:r>
              <w:t>Summit</w:t>
            </w:r>
            <w:r>
              <w:rPr>
                <w:rFonts w:ascii="Arial" w:hAnsi="Arial" w:cs="Arial"/>
              </w:rPr>
              <w:t>®</w:t>
            </w:r>
            <w:r>
              <w:t xml:space="preserve"> Mosquito Bits</w:t>
            </w:r>
            <w:r>
              <w:rPr>
                <w:rFonts w:ascii="Arial" w:hAnsi="Arial" w:cs="Arial"/>
              </w:rPr>
              <w:t>®</w:t>
            </w:r>
          </w:p>
        </w:tc>
      </w:tr>
      <w:tr w:rsidR="002319B7" w:rsidTr="002319B7">
        <w:tc>
          <w:tcPr>
            <w:tcW w:w="9350" w:type="dxa"/>
          </w:tcPr>
          <w:p w:rsidR="002319B7" w:rsidRDefault="002319B7" w:rsidP="00222AF1">
            <w:pPr>
              <w:tabs>
                <w:tab w:val="left" w:pos="6000"/>
              </w:tabs>
            </w:pPr>
          </w:p>
        </w:tc>
      </w:tr>
    </w:tbl>
    <w:p w:rsidR="002319B7" w:rsidRDefault="002319B7" w:rsidP="00222AF1">
      <w:pPr>
        <w:tabs>
          <w:tab w:val="left" w:pos="6000"/>
        </w:tabs>
        <w:spacing w:after="0"/>
      </w:pPr>
    </w:p>
    <w:p w:rsidR="0063157B" w:rsidRDefault="0063157B" w:rsidP="00222AF1">
      <w:pPr>
        <w:tabs>
          <w:tab w:val="left" w:pos="6000"/>
        </w:tabs>
        <w:spacing w:after="0"/>
        <w:rPr>
          <w:b/>
          <w:highlight w:val="red"/>
        </w:rPr>
      </w:pPr>
    </w:p>
    <w:p w:rsidR="0063157B" w:rsidRDefault="0063157B" w:rsidP="00222AF1">
      <w:pPr>
        <w:tabs>
          <w:tab w:val="left" w:pos="6000"/>
        </w:tabs>
        <w:spacing w:after="0"/>
        <w:rPr>
          <w:b/>
          <w:highlight w:val="red"/>
        </w:rPr>
      </w:pPr>
    </w:p>
    <w:p w:rsidR="0063157B" w:rsidRDefault="0063157B" w:rsidP="00222AF1">
      <w:pPr>
        <w:tabs>
          <w:tab w:val="left" w:pos="6000"/>
        </w:tabs>
        <w:spacing w:after="0"/>
        <w:rPr>
          <w:b/>
          <w:highlight w:val="red"/>
        </w:rPr>
      </w:pPr>
    </w:p>
    <w:p w:rsidR="002319B7" w:rsidRPr="006B1C10" w:rsidRDefault="002319B7" w:rsidP="00222AF1">
      <w:pPr>
        <w:tabs>
          <w:tab w:val="left" w:pos="6000"/>
        </w:tabs>
        <w:spacing w:after="0"/>
        <w:rPr>
          <w:b/>
        </w:rPr>
      </w:pPr>
      <w:r w:rsidRPr="006B1C10">
        <w:rPr>
          <w:b/>
          <w:highlight w:val="red"/>
        </w:rPr>
        <w:t>SECTION 16: OTHER INFORMATION</w:t>
      </w:r>
    </w:p>
    <w:p w:rsidR="0063157B" w:rsidRPr="0063157B" w:rsidRDefault="0063157B" w:rsidP="0063157B">
      <w:pPr>
        <w:tabs>
          <w:tab w:val="left" w:pos="6000"/>
        </w:tabs>
        <w:spacing w:after="0"/>
      </w:pPr>
      <w:r w:rsidRPr="0063157B">
        <w:rPr>
          <w:noProof/>
        </w:rPr>
        <mc:AlternateContent>
          <mc:Choice Requires="wps">
            <w:drawing>
              <wp:inline distT="0" distB="0" distL="0" distR="0">
                <wp:extent cx="5062855" cy="1155700"/>
                <wp:effectExtent l="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742"/>
                              <w:gridCol w:w="3207"/>
                              <w:gridCol w:w="2023"/>
                            </w:tblGrid>
                            <w:tr w:rsidR="0063157B">
                              <w:trPr>
                                <w:trHeight w:hRule="exact" w:val="358"/>
                              </w:trPr>
                              <w:tc>
                                <w:tcPr>
                                  <w:tcW w:w="2742" w:type="dxa"/>
                                  <w:tcBorders>
                                    <w:top w:val="nil"/>
                                    <w:left w:val="nil"/>
                                    <w:bottom w:val="nil"/>
                                    <w:right w:val="nil"/>
                                  </w:tcBorders>
                                </w:tcPr>
                                <w:p w:rsidR="0063157B" w:rsidRDefault="0063157B">
                                  <w:pPr>
                                    <w:kinsoku w:val="0"/>
                                    <w:overflowPunct w:val="0"/>
                                    <w:spacing w:before="69"/>
                                    <w:ind w:left="35"/>
                                  </w:pPr>
                                  <w:r>
                                    <w:rPr>
                                      <w:rFonts w:ascii="Arial" w:hAnsi="Arial" w:cs="Arial"/>
                                      <w:b/>
                                      <w:bCs/>
                                      <w:u w:val="thick"/>
                                    </w:rPr>
                                    <w:t>NFPA Hazard</w:t>
                                  </w:r>
                                  <w:r>
                                    <w:rPr>
                                      <w:rFonts w:ascii="Arial" w:hAnsi="Arial" w:cs="Arial"/>
                                      <w:b/>
                                      <w:bCs/>
                                      <w:spacing w:val="59"/>
                                      <w:u w:val="thick"/>
                                    </w:rPr>
                                    <w:t xml:space="preserve"> </w:t>
                                  </w:r>
                                  <w:r>
                                    <w:rPr>
                                      <w:rFonts w:ascii="Arial" w:hAnsi="Arial" w:cs="Arial"/>
                                      <w:b/>
                                      <w:bCs/>
                                      <w:u w:val="thick"/>
                                    </w:rPr>
                                    <w:t>Ratings</w:t>
                                  </w:r>
                                </w:p>
                              </w:tc>
                              <w:tc>
                                <w:tcPr>
                                  <w:tcW w:w="3207" w:type="dxa"/>
                                  <w:tcBorders>
                                    <w:top w:val="nil"/>
                                    <w:left w:val="nil"/>
                                    <w:bottom w:val="nil"/>
                                    <w:right w:val="nil"/>
                                  </w:tcBorders>
                                </w:tcPr>
                                <w:p w:rsidR="0063157B" w:rsidRDefault="0063157B">
                                  <w:pPr>
                                    <w:kinsoku w:val="0"/>
                                    <w:overflowPunct w:val="0"/>
                                    <w:spacing w:before="69"/>
                                    <w:ind w:left="173"/>
                                  </w:pPr>
                                  <w:r>
                                    <w:rPr>
                                      <w:rFonts w:ascii="Arial" w:hAnsi="Arial" w:cs="Arial"/>
                                      <w:b/>
                                      <w:bCs/>
                                      <w:u w:val="thick"/>
                                    </w:rPr>
                                    <w:t>HMIS Hazard</w:t>
                                  </w:r>
                                  <w:r>
                                    <w:rPr>
                                      <w:rFonts w:ascii="Arial" w:hAnsi="Arial" w:cs="Arial"/>
                                      <w:b/>
                                      <w:bCs/>
                                      <w:spacing w:val="65"/>
                                      <w:u w:val="thick"/>
                                    </w:rPr>
                                    <w:t xml:space="preserve"> </w:t>
                                  </w:r>
                                  <w:r>
                                    <w:rPr>
                                      <w:rFonts w:ascii="Arial" w:hAnsi="Arial" w:cs="Arial"/>
                                      <w:b/>
                                      <w:bCs/>
                                      <w:u w:val="thick"/>
                                    </w:rPr>
                                    <w:t>Ratings</w:t>
                                  </w:r>
                                </w:p>
                              </w:tc>
                              <w:tc>
                                <w:tcPr>
                                  <w:tcW w:w="2023" w:type="dxa"/>
                                  <w:tcBorders>
                                    <w:top w:val="nil"/>
                                    <w:left w:val="nil"/>
                                    <w:bottom w:val="nil"/>
                                    <w:right w:val="nil"/>
                                  </w:tcBorders>
                                </w:tcPr>
                                <w:p w:rsidR="0063157B" w:rsidRDefault="0063157B"/>
                              </w:tc>
                            </w:tr>
                            <w:tr w:rsidR="0063157B">
                              <w:trPr>
                                <w:trHeight w:hRule="exact" w:val="276"/>
                              </w:trPr>
                              <w:tc>
                                <w:tcPr>
                                  <w:tcW w:w="2742" w:type="dxa"/>
                                  <w:tcBorders>
                                    <w:top w:val="nil"/>
                                    <w:left w:val="nil"/>
                                    <w:bottom w:val="nil"/>
                                    <w:right w:val="nil"/>
                                  </w:tcBorders>
                                </w:tcPr>
                                <w:p w:rsidR="0063157B" w:rsidRDefault="0063157B">
                                  <w:pPr>
                                    <w:kinsoku w:val="0"/>
                                    <w:overflowPunct w:val="0"/>
                                    <w:spacing w:line="263" w:lineRule="exact"/>
                                    <w:ind w:left="687"/>
                                  </w:pPr>
                                  <w:r>
                                    <w:rPr>
                                      <w:rFonts w:ascii="Arial" w:hAnsi="Arial" w:cs="Arial"/>
                                    </w:rPr>
                                    <w:t>Health:</w:t>
                                  </w:r>
                                  <w:r>
                                    <w:rPr>
                                      <w:rFonts w:ascii="Arial" w:hAnsi="Arial" w:cs="Arial"/>
                                      <w:spacing w:val="66"/>
                                    </w:rPr>
                                    <w:t xml:space="preserve"> </w:t>
                                  </w:r>
                                  <w:r>
                                    <w:rPr>
                                      <w:rFonts w:ascii="Arial" w:hAnsi="Arial" w:cs="Arial"/>
                                    </w:rPr>
                                    <w:t>1</w:t>
                                  </w:r>
                                </w:p>
                              </w:tc>
                              <w:tc>
                                <w:tcPr>
                                  <w:tcW w:w="3207" w:type="dxa"/>
                                  <w:tcBorders>
                                    <w:top w:val="nil"/>
                                    <w:left w:val="nil"/>
                                    <w:bottom w:val="nil"/>
                                    <w:right w:val="nil"/>
                                  </w:tcBorders>
                                </w:tcPr>
                                <w:p w:rsidR="0063157B" w:rsidRDefault="0063157B">
                                  <w:pPr>
                                    <w:kinsoku w:val="0"/>
                                    <w:overflowPunct w:val="0"/>
                                    <w:spacing w:line="263" w:lineRule="exact"/>
                                    <w:ind w:left="910"/>
                                  </w:pPr>
                                  <w:r>
                                    <w:rPr>
                                      <w:rFonts w:ascii="Arial" w:hAnsi="Arial" w:cs="Arial"/>
                                    </w:rPr>
                                    <w:t>Health:</w:t>
                                  </w:r>
                                  <w:r>
                                    <w:rPr>
                                      <w:rFonts w:ascii="Arial" w:hAnsi="Arial" w:cs="Arial"/>
                                      <w:spacing w:val="62"/>
                                    </w:rPr>
                                    <w:t xml:space="preserve"> </w:t>
                                  </w:r>
                                  <w:r>
                                    <w:rPr>
                                      <w:rFonts w:ascii="Arial" w:hAnsi="Arial" w:cs="Arial"/>
                                    </w:rPr>
                                    <w:t>1</w:t>
                                  </w:r>
                                </w:p>
                              </w:tc>
                              <w:tc>
                                <w:tcPr>
                                  <w:tcW w:w="2023" w:type="dxa"/>
                                  <w:tcBorders>
                                    <w:top w:val="nil"/>
                                    <w:left w:val="nil"/>
                                    <w:bottom w:val="nil"/>
                                    <w:right w:val="nil"/>
                                  </w:tcBorders>
                                </w:tcPr>
                                <w:p w:rsidR="0063157B" w:rsidRDefault="0063157B">
                                  <w:pPr>
                                    <w:kinsoku w:val="0"/>
                                    <w:overflowPunct w:val="0"/>
                                    <w:spacing w:line="263" w:lineRule="exact"/>
                                    <w:ind w:left="565"/>
                                  </w:pPr>
                                  <w:r>
                                    <w:rPr>
                                      <w:rFonts w:ascii="Arial" w:hAnsi="Arial" w:cs="Arial"/>
                                    </w:rPr>
                                    <w:t>0 =</w:t>
                                  </w:r>
                                  <w:r>
                                    <w:rPr>
                                      <w:rFonts w:ascii="Arial" w:hAnsi="Arial" w:cs="Arial"/>
                                      <w:spacing w:val="-1"/>
                                    </w:rPr>
                                    <w:t xml:space="preserve"> </w:t>
                                  </w:r>
                                  <w:r>
                                    <w:rPr>
                                      <w:rFonts w:ascii="Arial" w:hAnsi="Arial" w:cs="Arial"/>
                                    </w:rPr>
                                    <w:t>Minimal</w:t>
                                  </w:r>
                                </w:p>
                              </w:tc>
                            </w:tr>
                            <w:tr w:rsidR="0063157B">
                              <w:trPr>
                                <w:trHeight w:hRule="exact" w:val="276"/>
                              </w:trPr>
                              <w:tc>
                                <w:tcPr>
                                  <w:tcW w:w="2742" w:type="dxa"/>
                                  <w:tcBorders>
                                    <w:top w:val="nil"/>
                                    <w:left w:val="nil"/>
                                    <w:bottom w:val="nil"/>
                                    <w:right w:val="nil"/>
                                  </w:tcBorders>
                                </w:tcPr>
                                <w:p w:rsidR="0063157B" w:rsidRDefault="0063157B">
                                  <w:pPr>
                                    <w:kinsoku w:val="0"/>
                                    <w:overflowPunct w:val="0"/>
                                    <w:spacing w:line="263" w:lineRule="exact"/>
                                    <w:ind w:left="35"/>
                                  </w:pPr>
                                  <w:r>
                                    <w:rPr>
                                      <w:rFonts w:ascii="Arial" w:hAnsi="Arial" w:cs="Arial"/>
                                    </w:rPr>
                                    <w:t>Flammability:</w:t>
                                  </w:r>
                                  <w:r>
                                    <w:rPr>
                                      <w:rFonts w:ascii="Arial" w:hAnsi="Arial" w:cs="Arial"/>
                                      <w:spacing w:val="64"/>
                                    </w:rPr>
                                    <w:t xml:space="preserve"> </w:t>
                                  </w:r>
                                  <w:r>
                                    <w:rPr>
                                      <w:rFonts w:ascii="Arial" w:hAnsi="Arial" w:cs="Arial"/>
                                    </w:rPr>
                                    <w:t>0</w:t>
                                  </w:r>
                                </w:p>
                              </w:tc>
                              <w:tc>
                                <w:tcPr>
                                  <w:tcW w:w="3207" w:type="dxa"/>
                                  <w:tcBorders>
                                    <w:top w:val="nil"/>
                                    <w:left w:val="nil"/>
                                    <w:bottom w:val="nil"/>
                                    <w:right w:val="nil"/>
                                  </w:tcBorders>
                                </w:tcPr>
                                <w:p w:rsidR="0063157B" w:rsidRDefault="0063157B">
                                  <w:pPr>
                                    <w:kinsoku w:val="0"/>
                                    <w:overflowPunct w:val="0"/>
                                    <w:spacing w:line="263" w:lineRule="exact"/>
                                    <w:ind w:left="240"/>
                                  </w:pPr>
                                  <w:r>
                                    <w:rPr>
                                      <w:rFonts w:ascii="Arial" w:hAnsi="Arial" w:cs="Arial"/>
                                    </w:rPr>
                                    <w:t>Flammability: 0</w:t>
                                  </w:r>
                                </w:p>
                              </w:tc>
                              <w:tc>
                                <w:tcPr>
                                  <w:tcW w:w="2023" w:type="dxa"/>
                                  <w:tcBorders>
                                    <w:top w:val="nil"/>
                                    <w:left w:val="nil"/>
                                    <w:bottom w:val="nil"/>
                                    <w:right w:val="nil"/>
                                  </w:tcBorders>
                                </w:tcPr>
                                <w:p w:rsidR="0063157B" w:rsidRDefault="0063157B">
                                  <w:pPr>
                                    <w:kinsoku w:val="0"/>
                                    <w:overflowPunct w:val="0"/>
                                    <w:spacing w:line="263" w:lineRule="exact"/>
                                    <w:ind w:left="565"/>
                                  </w:pPr>
                                  <w:r>
                                    <w:rPr>
                                      <w:rFonts w:ascii="Arial" w:hAnsi="Arial" w:cs="Arial"/>
                                    </w:rPr>
                                    <w:t>1 =</w:t>
                                  </w:r>
                                  <w:r>
                                    <w:rPr>
                                      <w:rFonts w:ascii="Arial" w:hAnsi="Arial" w:cs="Arial"/>
                                      <w:spacing w:val="-1"/>
                                    </w:rPr>
                                    <w:t xml:space="preserve"> </w:t>
                                  </w:r>
                                  <w:r>
                                    <w:rPr>
                                      <w:rFonts w:ascii="Arial" w:hAnsi="Arial" w:cs="Arial"/>
                                    </w:rPr>
                                    <w:t>Slight</w:t>
                                  </w:r>
                                </w:p>
                              </w:tc>
                            </w:tr>
                            <w:tr w:rsidR="0063157B">
                              <w:trPr>
                                <w:trHeight w:hRule="exact" w:val="276"/>
                              </w:trPr>
                              <w:tc>
                                <w:tcPr>
                                  <w:tcW w:w="2742" w:type="dxa"/>
                                  <w:tcBorders>
                                    <w:top w:val="nil"/>
                                    <w:left w:val="nil"/>
                                    <w:bottom w:val="nil"/>
                                    <w:right w:val="nil"/>
                                  </w:tcBorders>
                                </w:tcPr>
                                <w:p w:rsidR="0063157B" w:rsidRDefault="0063157B">
                                  <w:pPr>
                                    <w:kinsoku w:val="0"/>
                                    <w:overflowPunct w:val="0"/>
                                    <w:spacing w:line="263" w:lineRule="exact"/>
                                    <w:ind w:left="371"/>
                                  </w:pPr>
                                  <w:r>
                                    <w:rPr>
                                      <w:rFonts w:ascii="Arial" w:hAnsi="Arial" w:cs="Arial"/>
                                    </w:rPr>
                                    <w:t>Instability:</w:t>
                                  </w:r>
                                  <w:r>
                                    <w:rPr>
                                      <w:rFonts w:ascii="Arial" w:hAnsi="Arial" w:cs="Arial"/>
                                      <w:spacing w:val="66"/>
                                    </w:rPr>
                                    <w:t xml:space="preserve"> </w:t>
                                  </w:r>
                                  <w:r>
                                    <w:rPr>
                                      <w:rFonts w:ascii="Arial" w:hAnsi="Arial" w:cs="Arial"/>
                                    </w:rPr>
                                    <w:t>0</w:t>
                                  </w:r>
                                </w:p>
                              </w:tc>
                              <w:tc>
                                <w:tcPr>
                                  <w:tcW w:w="3207" w:type="dxa"/>
                                  <w:tcBorders>
                                    <w:top w:val="nil"/>
                                    <w:left w:val="nil"/>
                                    <w:bottom w:val="nil"/>
                                    <w:right w:val="nil"/>
                                  </w:tcBorders>
                                </w:tcPr>
                                <w:p w:rsidR="0063157B" w:rsidRDefault="0063157B">
                                  <w:pPr>
                                    <w:kinsoku w:val="0"/>
                                    <w:overflowPunct w:val="0"/>
                                    <w:spacing w:line="263" w:lineRule="exact"/>
                                    <w:ind w:left="574"/>
                                  </w:pPr>
                                  <w:r>
                                    <w:rPr>
                                      <w:rFonts w:ascii="Arial" w:hAnsi="Arial" w:cs="Arial"/>
                                    </w:rPr>
                                    <w:t>Instability: 0</w:t>
                                  </w:r>
                                </w:p>
                              </w:tc>
                              <w:tc>
                                <w:tcPr>
                                  <w:tcW w:w="2023" w:type="dxa"/>
                                  <w:tcBorders>
                                    <w:top w:val="nil"/>
                                    <w:left w:val="nil"/>
                                    <w:bottom w:val="nil"/>
                                    <w:right w:val="nil"/>
                                  </w:tcBorders>
                                </w:tcPr>
                                <w:p w:rsidR="0063157B" w:rsidRDefault="0063157B">
                                  <w:pPr>
                                    <w:kinsoku w:val="0"/>
                                    <w:overflowPunct w:val="0"/>
                                    <w:spacing w:line="263" w:lineRule="exact"/>
                                    <w:ind w:left="565"/>
                                  </w:pPr>
                                  <w:r>
                                    <w:rPr>
                                      <w:rFonts w:ascii="Arial" w:hAnsi="Arial" w:cs="Arial"/>
                                    </w:rPr>
                                    <w:t>2 =</w:t>
                                  </w:r>
                                  <w:r>
                                    <w:rPr>
                                      <w:rFonts w:ascii="Arial" w:hAnsi="Arial" w:cs="Arial"/>
                                      <w:spacing w:val="-4"/>
                                    </w:rPr>
                                    <w:t xml:space="preserve"> </w:t>
                                  </w:r>
                                  <w:r>
                                    <w:rPr>
                                      <w:rFonts w:ascii="Arial" w:hAnsi="Arial" w:cs="Arial"/>
                                    </w:rPr>
                                    <w:t>Moderate</w:t>
                                  </w:r>
                                </w:p>
                              </w:tc>
                            </w:tr>
                            <w:tr w:rsidR="0063157B">
                              <w:trPr>
                                <w:trHeight w:hRule="exact" w:val="276"/>
                              </w:trPr>
                              <w:tc>
                                <w:tcPr>
                                  <w:tcW w:w="2742" w:type="dxa"/>
                                  <w:tcBorders>
                                    <w:top w:val="nil"/>
                                    <w:left w:val="nil"/>
                                    <w:bottom w:val="nil"/>
                                    <w:right w:val="nil"/>
                                  </w:tcBorders>
                                </w:tcPr>
                                <w:p w:rsidR="0063157B" w:rsidRDefault="0063157B"/>
                              </w:tc>
                              <w:tc>
                                <w:tcPr>
                                  <w:tcW w:w="3207" w:type="dxa"/>
                                  <w:tcBorders>
                                    <w:top w:val="nil"/>
                                    <w:left w:val="nil"/>
                                    <w:bottom w:val="nil"/>
                                    <w:right w:val="nil"/>
                                  </w:tcBorders>
                                </w:tcPr>
                                <w:p w:rsidR="0063157B" w:rsidRDefault="0063157B"/>
                              </w:tc>
                              <w:tc>
                                <w:tcPr>
                                  <w:tcW w:w="2023" w:type="dxa"/>
                                  <w:tcBorders>
                                    <w:top w:val="nil"/>
                                    <w:left w:val="nil"/>
                                    <w:bottom w:val="nil"/>
                                    <w:right w:val="nil"/>
                                  </w:tcBorders>
                                </w:tcPr>
                                <w:p w:rsidR="0063157B" w:rsidRDefault="0063157B">
                                  <w:pPr>
                                    <w:kinsoku w:val="0"/>
                                    <w:overflowPunct w:val="0"/>
                                    <w:spacing w:line="263" w:lineRule="exact"/>
                                    <w:ind w:left="553"/>
                                  </w:pPr>
                                  <w:r>
                                    <w:rPr>
                                      <w:rFonts w:ascii="Arial" w:hAnsi="Arial" w:cs="Arial"/>
                                    </w:rPr>
                                    <w:t>3 =</w:t>
                                  </w:r>
                                  <w:r>
                                    <w:rPr>
                                      <w:rFonts w:ascii="Arial" w:hAnsi="Arial" w:cs="Arial"/>
                                      <w:spacing w:val="-2"/>
                                    </w:rPr>
                                    <w:t xml:space="preserve"> </w:t>
                                  </w:r>
                                  <w:r>
                                    <w:rPr>
                                      <w:rFonts w:ascii="Arial" w:hAnsi="Arial" w:cs="Arial"/>
                                    </w:rPr>
                                    <w:t>Serious</w:t>
                                  </w:r>
                                </w:p>
                              </w:tc>
                            </w:tr>
                            <w:tr w:rsidR="0063157B">
                              <w:trPr>
                                <w:trHeight w:hRule="exact" w:val="358"/>
                              </w:trPr>
                              <w:tc>
                                <w:tcPr>
                                  <w:tcW w:w="2742" w:type="dxa"/>
                                  <w:tcBorders>
                                    <w:top w:val="nil"/>
                                    <w:left w:val="nil"/>
                                    <w:bottom w:val="nil"/>
                                    <w:right w:val="nil"/>
                                  </w:tcBorders>
                                </w:tcPr>
                                <w:p w:rsidR="0063157B" w:rsidRDefault="0063157B"/>
                              </w:tc>
                              <w:tc>
                                <w:tcPr>
                                  <w:tcW w:w="3207" w:type="dxa"/>
                                  <w:tcBorders>
                                    <w:top w:val="nil"/>
                                    <w:left w:val="nil"/>
                                    <w:bottom w:val="nil"/>
                                    <w:right w:val="nil"/>
                                  </w:tcBorders>
                                </w:tcPr>
                                <w:p w:rsidR="0063157B" w:rsidRDefault="0063157B"/>
                              </w:tc>
                              <w:tc>
                                <w:tcPr>
                                  <w:tcW w:w="2023" w:type="dxa"/>
                                  <w:tcBorders>
                                    <w:top w:val="nil"/>
                                    <w:left w:val="nil"/>
                                    <w:bottom w:val="nil"/>
                                    <w:right w:val="nil"/>
                                  </w:tcBorders>
                                </w:tcPr>
                                <w:p w:rsidR="0063157B" w:rsidRDefault="0063157B">
                                  <w:pPr>
                                    <w:kinsoku w:val="0"/>
                                    <w:overflowPunct w:val="0"/>
                                    <w:spacing w:line="263" w:lineRule="exact"/>
                                    <w:ind w:left="553"/>
                                  </w:pPr>
                                  <w:r>
                                    <w:rPr>
                                      <w:rFonts w:ascii="Arial" w:hAnsi="Arial" w:cs="Arial"/>
                                    </w:rPr>
                                    <w:t>4 =</w:t>
                                  </w:r>
                                  <w:r>
                                    <w:rPr>
                                      <w:rFonts w:ascii="Arial" w:hAnsi="Arial" w:cs="Arial"/>
                                      <w:spacing w:val="-2"/>
                                    </w:rPr>
                                    <w:t xml:space="preserve"> </w:t>
                                  </w:r>
                                  <w:r>
                                    <w:rPr>
                                      <w:rFonts w:ascii="Arial" w:hAnsi="Arial" w:cs="Arial"/>
                                    </w:rPr>
                                    <w:t>Extreme</w:t>
                                  </w:r>
                                </w:p>
                              </w:tc>
                            </w:tr>
                          </w:tbl>
                          <w:p w:rsidR="0063157B" w:rsidRDefault="0063157B" w:rsidP="0063157B">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98.6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YTsA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742"/>
                        <w:gridCol w:w="3207"/>
                        <w:gridCol w:w="2023"/>
                      </w:tblGrid>
                      <w:tr w:rsidR="0063157B">
                        <w:trPr>
                          <w:trHeight w:hRule="exact" w:val="358"/>
                        </w:trPr>
                        <w:tc>
                          <w:tcPr>
                            <w:tcW w:w="2742" w:type="dxa"/>
                            <w:tcBorders>
                              <w:top w:val="nil"/>
                              <w:left w:val="nil"/>
                              <w:bottom w:val="nil"/>
                              <w:right w:val="nil"/>
                            </w:tcBorders>
                          </w:tcPr>
                          <w:p w:rsidR="0063157B" w:rsidRDefault="0063157B">
                            <w:pPr>
                              <w:kinsoku w:val="0"/>
                              <w:overflowPunct w:val="0"/>
                              <w:spacing w:before="69"/>
                              <w:ind w:left="35"/>
                            </w:pPr>
                            <w:r>
                              <w:rPr>
                                <w:rFonts w:ascii="Arial" w:hAnsi="Arial" w:cs="Arial"/>
                                <w:b/>
                                <w:bCs/>
                                <w:u w:val="thick"/>
                              </w:rPr>
                              <w:t>NFPA Hazard</w:t>
                            </w:r>
                            <w:r>
                              <w:rPr>
                                <w:rFonts w:ascii="Arial" w:hAnsi="Arial" w:cs="Arial"/>
                                <w:b/>
                                <w:bCs/>
                                <w:spacing w:val="59"/>
                                <w:u w:val="thick"/>
                              </w:rPr>
                              <w:t xml:space="preserve"> </w:t>
                            </w:r>
                            <w:r>
                              <w:rPr>
                                <w:rFonts w:ascii="Arial" w:hAnsi="Arial" w:cs="Arial"/>
                                <w:b/>
                                <w:bCs/>
                                <w:u w:val="thick"/>
                              </w:rPr>
                              <w:t>Ratings</w:t>
                            </w:r>
                          </w:p>
                        </w:tc>
                        <w:tc>
                          <w:tcPr>
                            <w:tcW w:w="3207" w:type="dxa"/>
                            <w:tcBorders>
                              <w:top w:val="nil"/>
                              <w:left w:val="nil"/>
                              <w:bottom w:val="nil"/>
                              <w:right w:val="nil"/>
                            </w:tcBorders>
                          </w:tcPr>
                          <w:p w:rsidR="0063157B" w:rsidRDefault="0063157B">
                            <w:pPr>
                              <w:kinsoku w:val="0"/>
                              <w:overflowPunct w:val="0"/>
                              <w:spacing w:before="69"/>
                              <w:ind w:left="173"/>
                            </w:pPr>
                            <w:r>
                              <w:rPr>
                                <w:rFonts w:ascii="Arial" w:hAnsi="Arial" w:cs="Arial"/>
                                <w:b/>
                                <w:bCs/>
                                <w:u w:val="thick"/>
                              </w:rPr>
                              <w:t>HMIS Hazard</w:t>
                            </w:r>
                            <w:r>
                              <w:rPr>
                                <w:rFonts w:ascii="Arial" w:hAnsi="Arial" w:cs="Arial"/>
                                <w:b/>
                                <w:bCs/>
                                <w:spacing w:val="65"/>
                                <w:u w:val="thick"/>
                              </w:rPr>
                              <w:t xml:space="preserve"> </w:t>
                            </w:r>
                            <w:r>
                              <w:rPr>
                                <w:rFonts w:ascii="Arial" w:hAnsi="Arial" w:cs="Arial"/>
                                <w:b/>
                                <w:bCs/>
                                <w:u w:val="thick"/>
                              </w:rPr>
                              <w:t>Ratings</w:t>
                            </w:r>
                          </w:p>
                        </w:tc>
                        <w:tc>
                          <w:tcPr>
                            <w:tcW w:w="2023" w:type="dxa"/>
                            <w:tcBorders>
                              <w:top w:val="nil"/>
                              <w:left w:val="nil"/>
                              <w:bottom w:val="nil"/>
                              <w:right w:val="nil"/>
                            </w:tcBorders>
                          </w:tcPr>
                          <w:p w:rsidR="0063157B" w:rsidRDefault="0063157B"/>
                        </w:tc>
                      </w:tr>
                      <w:tr w:rsidR="0063157B">
                        <w:trPr>
                          <w:trHeight w:hRule="exact" w:val="276"/>
                        </w:trPr>
                        <w:tc>
                          <w:tcPr>
                            <w:tcW w:w="2742" w:type="dxa"/>
                            <w:tcBorders>
                              <w:top w:val="nil"/>
                              <w:left w:val="nil"/>
                              <w:bottom w:val="nil"/>
                              <w:right w:val="nil"/>
                            </w:tcBorders>
                          </w:tcPr>
                          <w:p w:rsidR="0063157B" w:rsidRDefault="0063157B">
                            <w:pPr>
                              <w:kinsoku w:val="0"/>
                              <w:overflowPunct w:val="0"/>
                              <w:spacing w:line="263" w:lineRule="exact"/>
                              <w:ind w:left="687"/>
                            </w:pPr>
                            <w:r>
                              <w:rPr>
                                <w:rFonts w:ascii="Arial" w:hAnsi="Arial" w:cs="Arial"/>
                              </w:rPr>
                              <w:t>Health:</w:t>
                            </w:r>
                            <w:r>
                              <w:rPr>
                                <w:rFonts w:ascii="Arial" w:hAnsi="Arial" w:cs="Arial"/>
                                <w:spacing w:val="66"/>
                              </w:rPr>
                              <w:t xml:space="preserve"> </w:t>
                            </w:r>
                            <w:r>
                              <w:rPr>
                                <w:rFonts w:ascii="Arial" w:hAnsi="Arial" w:cs="Arial"/>
                              </w:rPr>
                              <w:t>1</w:t>
                            </w:r>
                          </w:p>
                        </w:tc>
                        <w:tc>
                          <w:tcPr>
                            <w:tcW w:w="3207" w:type="dxa"/>
                            <w:tcBorders>
                              <w:top w:val="nil"/>
                              <w:left w:val="nil"/>
                              <w:bottom w:val="nil"/>
                              <w:right w:val="nil"/>
                            </w:tcBorders>
                          </w:tcPr>
                          <w:p w:rsidR="0063157B" w:rsidRDefault="0063157B">
                            <w:pPr>
                              <w:kinsoku w:val="0"/>
                              <w:overflowPunct w:val="0"/>
                              <w:spacing w:line="263" w:lineRule="exact"/>
                              <w:ind w:left="910"/>
                            </w:pPr>
                            <w:r>
                              <w:rPr>
                                <w:rFonts w:ascii="Arial" w:hAnsi="Arial" w:cs="Arial"/>
                              </w:rPr>
                              <w:t>Health:</w:t>
                            </w:r>
                            <w:r>
                              <w:rPr>
                                <w:rFonts w:ascii="Arial" w:hAnsi="Arial" w:cs="Arial"/>
                                <w:spacing w:val="62"/>
                              </w:rPr>
                              <w:t xml:space="preserve"> </w:t>
                            </w:r>
                            <w:r>
                              <w:rPr>
                                <w:rFonts w:ascii="Arial" w:hAnsi="Arial" w:cs="Arial"/>
                              </w:rPr>
                              <w:t>1</w:t>
                            </w:r>
                          </w:p>
                        </w:tc>
                        <w:tc>
                          <w:tcPr>
                            <w:tcW w:w="2023" w:type="dxa"/>
                            <w:tcBorders>
                              <w:top w:val="nil"/>
                              <w:left w:val="nil"/>
                              <w:bottom w:val="nil"/>
                              <w:right w:val="nil"/>
                            </w:tcBorders>
                          </w:tcPr>
                          <w:p w:rsidR="0063157B" w:rsidRDefault="0063157B">
                            <w:pPr>
                              <w:kinsoku w:val="0"/>
                              <w:overflowPunct w:val="0"/>
                              <w:spacing w:line="263" w:lineRule="exact"/>
                              <w:ind w:left="565"/>
                            </w:pPr>
                            <w:r>
                              <w:rPr>
                                <w:rFonts w:ascii="Arial" w:hAnsi="Arial" w:cs="Arial"/>
                              </w:rPr>
                              <w:t>0 =</w:t>
                            </w:r>
                            <w:r>
                              <w:rPr>
                                <w:rFonts w:ascii="Arial" w:hAnsi="Arial" w:cs="Arial"/>
                                <w:spacing w:val="-1"/>
                              </w:rPr>
                              <w:t xml:space="preserve"> </w:t>
                            </w:r>
                            <w:r>
                              <w:rPr>
                                <w:rFonts w:ascii="Arial" w:hAnsi="Arial" w:cs="Arial"/>
                              </w:rPr>
                              <w:t>Minimal</w:t>
                            </w:r>
                          </w:p>
                        </w:tc>
                      </w:tr>
                      <w:tr w:rsidR="0063157B">
                        <w:trPr>
                          <w:trHeight w:hRule="exact" w:val="276"/>
                        </w:trPr>
                        <w:tc>
                          <w:tcPr>
                            <w:tcW w:w="2742" w:type="dxa"/>
                            <w:tcBorders>
                              <w:top w:val="nil"/>
                              <w:left w:val="nil"/>
                              <w:bottom w:val="nil"/>
                              <w:right w:val="nil"/>
                            </w:tcBorders>
                          </w:tcPr>
                          <w:p w:rsidR="0063157B" w:rsidRDefault="0063157B">
                            <w:pPr>
                              <w:kinsoku w:val="0"/>
                              <w:overflowPunct w:val="0"/>
                              <w:spacing w:line="263" w:lineRule="exact"/>
                              <w:ind w:left="35"/>
                            </w:pPr>
                            <w:r>
                              <w:rPr>
                                <w:rFonts w:ascii="Arial" w:hAnsi="Arial" w:cs="Arial"/>
                              </w:rPr>
                              <w:t>Flammability:</w:t>
                            </w:r>
                            <w:r>
                              <w:rPr>
                                <w:rFonts w:ascii="Arial" w:hAnsi="Arial" w:cs="Arial"/>
                                <w:spacing w:val="64"/>
                              </w:rPr>
                              <w:t xml:space="preserve"> </w:t>
                            </w:r>
                            <w:r>
                              <w:rPr>
                                <w:rFonts w:ascii="Arial" w:hAnsi="Arial" w:cs="Arial"/>
                              </w:rPr>
                              <w:t>0</w:t>
                            </w:r>
                          </w:p>
                        </w:tc>
                        <w:tc>
                          <w:tcPr>
                            <w:tcW w:w="3207" w:type="dxa"/>
                            <w:tcBorders>
                              <w:top w:val="nil"/>
                              <w:left w:val="nil"/>
                              <w:bottom w:val="nil"/>
                              <w:right w:val="nil"/>
                            </w:tcBorders>
                          </w:tcPr>
                          <w:p w:rsidR="0063157B" w:rsidRDefault="0063157B">
                            <w:pPr>
                              <w:kinsoku w:val="0"/>
                              <w:overflowPunct w:val="0"/>
                              <w:spacing w:line="263" w:lineRule="exact"/>
                              <w:ind w:left="240"/>
                            </w:pPr>
                            <w:r>
                              <w:rPr>
                                <w:rFonts w:ascii="Arial" w:hAnsi="Arial" w:cs="Arial"/>
                              </w:rPr>
                              <w:t>Flammability: 0</w:t>
                            </w:r>
                          </w:p>
                        </w:tc>
                        <w:tc>
                          <w:tcPr>
                            <w:tcW w:w="2023" w:type="dxa"/>
                            <w:tcBorders>
                              <w:top w:val="nil"/>
                              <w:left w:val="nil"/>
                              <w:bottom w:val="nil"/>
                              <w:right w:val="nil"/>
                            </w:tcBorders>
                          </w:tcPr>
                          <w:p w:rsidR="0063157B" w:rsidRDefault="0063157B">
                            <w:pPr>
                              <w:kinsoku w:val="0"/>
                              <w:overflowPunct w:val="0"/>
                              <w:spacing w:line="263" w:lineRule="exact"/>
                              <w:ind w:left="565"/>
                            </w:pPr>
                            <w:r>
                              <w:rPr>
                                <w:rFonts w:ascii="Arial" w:hAnsi="Arial" w:cs="Arial"/>
                              </w:rPr>
                              <w:t>1 =</w:t>
                            </w:r>
                            <w:r>
                              <w:rPr>
                                <w:rFonts w:ascii="Arial" w:hAnsi="Arial" w:cs="Arial"/>
                                <w:spacing w:val="-1"/>
                              </w:rPr>
                              <w:t xml:space="preserve"> </w:t>
                            </w:r>
                            <w:r>
                              <w:rPr>
                                <w:rFonts w:ascii="Arial" w:hAnsi="Arial" w:cs="Arial"/>
                              </w:rPr>
                              <w:t>Slight</w:t>
                            </w:r>
                          </w:p>
                        </w:tc>
                      </w:tr>
                      <w:tr w:rsidR="0063157B">
                        <w:trPr>
                          <w:trHeight w:hRule="exact" w:val="276"/>
                        </w:trPr>
                        <w:tc>
                          <w:tcPr>
                            <w:tcW w:w="2742" w:type="dxa"/>
                            <w:tcBorders>
                              <w:top w:val="nil"/>
                              <w:left w:val="nil"/>
                              <w:bottom w:val="nil"/>
                              <w:right w:val="nil"/>
                            </w:tcBorders>
                          </w:tcPr>
                          <w:p w:rsidR="0063157B" w:rsidRDefault="0063157B">
                            <w:pPr>
                              <w:kinsoku w:val="0"/>
                              <w:overflowPunct w:val="0"/>
                              <w:spacing w:line="263" w:lineRule="exact"/>
                              <w:ind w:left="371"/>
                            </w:pPr>
                            <w:r>
                              <w:rPr>
                                <w:rFonts w:ascii="Arial" w:hAnsi="Arial" w:cs="Arial"/>
                              </w:rPr>
                              <w:t>Instability:</w:t>
                            </w:r>
                            <w:r>
                              <w:rPr>
                                <w:rFonts w:ascii="Arial" w:hAnsi="Arial" w:cs="Arial"/>
                                <w:spacing w:val="66"/>
                              </w:rPr>
                              <w:t xml:space="preserve"> </w:t>
                            </w:r>
                            <w:r>
                              <w:rPr>
                                <w:rFonts w:ascii="Arial" w:hAnsi="Arial" w:cs="Arial"/>
                              </w:rPr>
                              <w:t>0</w:t>
                            </w:r>
                          </w:p>
                        </w:tc>
                        <w:tc>
                          <w:tcPr>
                            <w:tcW w:w="3207" w:type="dxa"/>
                            <w:tcBorders>
                              <w:top w:val="nil"/>
                              <w:left w:val="nil"/>
                              <w:bottom w:val="nil"/>
                              <w:right w:val="nil"/>
                            </w:tcBorders>
                          </w:tcPr>
                          <w:p w:rsidR="0063157B" w:rsidRDefault="0063157B">
                            <w:pPr>
                              <w:kinsoku w:val="0"/>
                              <w:overflowPunct w:val="0"/>
                              <w:spacing w:line="263" w:lineRule="exact"/>
                              <w:ind w:left="574"/>
                            </w:pPr>
                            <w:r>
                              <w:rPr>
                                <w:rFonts w:ascii="Arial" w:hAnsi="Arial" w:cs="Arial"/>
                              </w:rPr>
                              <w:t>Instability: 0</w:t>
                            </w:r>
                          </w:p>
                        </w:tc>
                        <w:tc>
                          <w:tcPr>
                            <w:tcW w:w="2023" w:type="dxa"/>
                            <w:tcBorders>
                              <w:top w:val="nil"/>
                              <w:left w:val="nil"/>
                              <w:bottom w:val="nil"/>
                              <w:right w:val="nil"/>
                            </w:tcBorders>
                          </w:tcPr>
                          <w:p w:rsidR="0063157B" w:rsidRDefault="0063157B">
                            <w:pPr>
                              <w:kinsoku w:val="0"/>
                              <w:overflowPunct w:val="0"/>
                              <w:spacing w:line="263" w:lineRule="exact"/>
                              <w:ind w:left="565"/>
                            </w:pPr>
                            <w:r>
                              <w:rPr>
                                <w:rFonts w:ascii="Arial" w:hAnsi="Arial" w:cs="Arial"/>
                              </w:rPr>
                              <w:t>2 =</w:t>
                            </w:r>
                            <w:r>
                              <w:rPr>
                                <w:rFonts w:ascii="Arial" w:hAnsi="Arial" w:cs="Arial"/>
                                <w:spacing w:val="-4"/>
                              </w:rPr>
                              <w:t xml:space="preserve"> </w:t>
                            </w:r>
                            <w:r>
                              <w:rPr>
                                <w:rFonts w:ascii="Arial" w:hAnsi="Arial" w:cs="Arial"/>
                              </w:rPr>
                              <w:t>Moderate</w:t>
                            </w:r>
                          </w:p>
                        </w:tc>
                      </w:tr>
                      <w:tr w:rsidR="0063157B">
                        <w:trPr>
                          <w:trHeight w:hRule="exact" w:val="276"/>
                        </w:trPr>
                        <w:tc>
                          <w:tcPr>
                            <w:tcW w:w="2742" w:type="dxa"/>
                            <w:tcBorders>
                              <w:top w:val="nil"/>
                              <w:left w:val="nil"/>
                              <w:bottom w:val="nil"/>
                              <w:right w:val="nil"/>
                            </w:tcBorders>
                          </w:tcPr>
                          <w:p w:rsidR="0063157B" w:rsidRDefault="0063157B"/>
                        </w:tc>
                        <w:tc>
                          <w:tcPr>
                            <w:tcW w:w="3207" w:type="dxa"/>
                            <w:tcBorders>
                              <w:top w:val="nil"/>
                              <w:left w:val="nil"/>
                              <w:bottom w:val="nil"/>
                              <w:right w:val="nil"/>
                            </w:tcBorders>
                          </w:tcPr>
                          <w:p w:rsidR="0063157B" w:rsidRDefault="0063157B"/>
                        </w:tc>
                        <w:tc>
                          <w:tcPr>
                            <w:tcW w:w="2023" w:type="dxa"/>
                            <w:tcBorders>
                              <w:top w:val="nil"/>
                              <w:left w:val="nil"/>
                              <w:bottom w:val="nil"/>
                              <w:right w:val="nil"/>
                            </w:tcBorders>
                          </w:tcPr>
                          <w:p w:rsidR="0063157B" w:rsidRDefault="0063157B">
                            <w:pPr>
                              <w:kinsoku w:val="0"/>
                              <w:overflowPunct w:val="0"/>
                              <w:spacing w:line="263" w:lineRule="exact"/>
                              <w:ind w:left="553"/>
                            </w:pPr>
                            <w:r>
                              <w:rPr>
                                <w:rFonts w:ascii="Arial" w:hAnsi="Arial" w:cs="Arial"/>
                              </w:rPr>
                              <w:t>3 =</w:t>
                            </w:r>
                            <w:r>
                              <w:rPr>
                                <w:rFonts w:ascii="Arial" w:hAnsi="Arial" w:cs="Arial"/>
                                <w:spacing w:val="-2"/>
                              </w:rPr>
                              <w:t xml:space="preserve"> </w:t>
                            </w:r>
                            <w:r>
                              <w:rPr>
                                <w:rFonts w:ascii="Arial" w:hAnsi="Arial" w:cs="Arial"/>
                              </w:rPr>
                              <w:t>Serious</w:t>
                            </w:r>
                          </w:p>
                        </w:tc>
                      </w:tr>
                      <w:tr w:rsidR="0063157B">
                        <w:trPr>
                          <w:trHeight w:hRule="exact" w:val="358"/>
                        </w:trPr>
                        <w:tc>
                          <w:tcPr>
                            <w:tcW w:w="2742" w:type="dxa"/>
                            <w:tcBorders>
                              <w:top w:val="nil"/>
                              <w:left w:val="nil"/>
                              <w:bottom w:val="nil"/>
                              <w:right w:val="nil"/>
                            </w:tcBorders>
                          </w:tcPr>
                          <w:p w:rsidR="0063157B" w:rsidRDefault="0063157B"/>
                        </w:tc>
                        <w:tc>
                          <w:tcPr>
                            <w:tcW w:w="3207" w:type="dxa"/>
                            <w:tcBorders>
                              <w:top w:val="nil"/>
                              <w:left w:val="nil"/>
                              <w:bottom w:val="nil"/>
                              <w:right w:val="nil"/>
                            </w:tcBorders>
                          </w:tcPr>
                          <w:p w:rsidR="0063157B" w:rsidRDefault="0063157B"/>
                        </w:tc>
                        <w:tc>
                          <w:tcPr>
                            <w:tcW w:w="2023" w:type="dxa"/>
                            <w:tcBorders>
                              <w:top w:val="nil"/>
                              <w:left w:val="nil"/>
                              <w:bottom w:val="nil"/>
                              <w:right w:val="nil"/>
                            </w:tcBorders>
                          </w:tcPr>
                          <w:p w:rsidR="0063157B" w:rsidRDefault="0063157B">
                            <w:pPr>
                              <w:kinsoku w:val="0"/>
                              <w:overflowPunct w:val="0"/>
                              <w:spacing w:line="263" w:lineRule="exact"/>
                              <w:ind w:left="553"/>
                            </w:pPr>
                            <w:r>
                              <w:rPr>
                                <w:rFonts w:ascii="Arial" w:hAnsi="Arial" w:cs="Arial"/>
                              </w:rPr>
                              <w:t>4 =</w:t>
                            </w:r>
                            <w:r>
                              <w:rPr>
                                <w:rFonts w:ascii="Arial" w:hAnsi="Arial" w:cs="Arial"/>
                                <w:spacing w:val="-2"/>
                              </w:rPr>
                              <w:t xml:space="preserve"> </w:t>
                            </w:r>
                            <w:r>
                              <w:rPr>
                                <w:rFonts w:ascii="Arial" w:hAnsi="Arial" w:cs="Arial"/>
                              </w:rPr>
                              <w:t>Extreme</w:t>
                            </w:r>
                          </w:p>
                        </w:tc>
                      </w:tr>
                    </w:tbl>
                    <w:p w:rsidR="0063157B" w:rsidRDefault="0063157B" w:rsidP="0063157B">
                      <w:pPr>
                        <w:pStyle w:val="BodyText"/>
                        <w:kinsoku w:val="0"/>
                        <w:overflowPunct w:val="0"/>
                        <w:rPr>
                          <w:rFonts w:ascii="Times New Roman" w:hAnsi="Times New Roman" w:cs="Times New Roman"/>
                        </w:rPr>
                      </w:pPr>
                    </w:p>
                  </w:txbxContent>
                </v:textbox>
                <w10:anchorlock/>
              </v:shape>
            </w:pict>
          </mc:Fallback>
        </mc:AlternateContent>
      </w:r>
    </w:p>
    <w:p w:rsidR="0063157B" w:rsidRPr="0063157B" w:rsidRDefault="0063157B" w:rsidP="0063157B">
      <w:pPr>
        <w:tabs>
          <w:tab w:val="left" w:pos="6000"/>
        </w:tabs>
        <w:spacing w:after="0"/>
      </w:pPr>
      <w:r w:rsidRPr="0063157B">
        <w:t>REASON FOR ISSUE: New GHS format</w:t>
      </w:r>
    </w:p>
    <w:p w:rsidR="0063157B" w:rsidRPr="0063157B" w:rsidRDefault="0063157B" w:rsidP="0063157B">
      <w:pPr>
        <w:tabs>
          <w:tab w:val="left" w:pos="6000"/>
        </w:tabs>
        <w:spacing w:after="0"/>
      </w:pPr>
      <w:r w:rsidRPr="0063157B">
        <w:t xml:space="preserve">APPROVAL DATE: </w:t>
      </w:r>
      <w:r>
        <w:t xml:space="preserve">03/16/16 </w:t>
      </w:r>
      <w:r w:rsidRPr="0063157B">
        <w:t xml:space="preserve"> SUPERSEDES DATE: </w:t>
      </w:r>
      <w:r>
        <w:t>02/12/16</w:t>
      </w:r>
    </w:p>
    <w:p w:rsidR="0063157B" w:rsidRPr="0063157B" w:rsidRDefault="0063157B" w:rsidP="0063157B">
      <w:pPr>
        <w:tabs>
          <w:tab w:val="left" w:pos="6000"/>
        </w:tabs>
        <w:spacing w:after="0"/>
      </w:pPr>
      <w:r w:rsidRPr="0063157B">
        <w:t>LEGEND: N/A = Not Applicable                 N/D = Not Determined N/L = Not Listed L = Listed</w:t>
      </w:r>
    </w:p>
    <w:p w:rsidR="0063157B" w:rsidRPr="0063157B" w:rsidRDefault="0063157B" w:rsidP="0063157B">
      <w:pPr>
        <w:tabs>
          <w:tab w:val="left" w:pos="6000"/>
        </w:tabs>
        <w:spacing w:after="0"/>
      </w:pPr>
      <w:r w:rsidRPr="0063157B">
        <w:t>C = Ceiling S = Short-term</w:t>
      </w:r>
    </w:p>
    <w:p w:rsidR="0063157B" w:rsidRPr="0063157B" w:rsidRDefault="0063157B" w:rsidP="0063157B">
      <w:pPr>
        <w:tabs>
          <w:tab w:val="left" w:pos="6000"/>
        </w:tabs>
        <w:spacing w:after="0"/>
      </w:pPr>
      <w:r w:rsidRPr="0063157B">
        <w:t xml:space="preserve">(R) = Registered Trademark of </w:t>
      </w:r>
      <w:r>
        <w:t>Summit Chemical Co.</w:t>
      </w:r>
      <w:r w:rsidRPr="0063157B">
        <w:t xml:space="preserve">. (TM) = Registered Trademark of </w:t>
      </w:r>
      <w:r>
        <w:t>Summit Chemical Company</w:t>
      </w:r>
    </w:p>
    <w:p w:rsidR="002319B7" w:rsidRPr="00471208" w:rsidRDefault="002319B7" w:rsidP="00222AF1">
      <w:pPr>
        <w:tabs>
          <w:tab w:val="left" w:pos="6000"/>
        </w:tabs>
        <w:spacing w:after="0"/>
      </w:pPr>
      <w:r>
        <w:tab/>
      </w:r>
    </w:p>
    <w:sectPr w:rsidR="002319B7" w:rsidRPr="004712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B3" w:rsidRDefault="00685DB3" w:rsidP="00EE2785">
      <w:pPr>
        <w:spacing w:after="0"/>
      </w:pPr>
      <w:r>
        <w:separator/>
      </w:r>
    </w:p>
  </w:endnote>
  <w:endnote w:type="continuationSeparator" w:id="0">
    <w:p w:rsidR="00685DB3" w:rsidRDefault="00685DB3" w:rsidP="00EE27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34202"/>
      <w:docPartObj>
        <w:docPartGallery w:val="Page Numbers (Bottom of Page)"/>
        <w:docPartUnique/>
      </w:docPartObj>
    </w:sdtPr>
    <w:sdtEndPr>
      <w:rPr>
        <w:noProof/>
      </w:rPr>
    </w:sdtEndPr>
    <w:sdtContent>
      <w:p w:rsidR="00EE2785" w:rsidRDefault="00EE2785">
        <w:pPr>
          <w:pStyle w:val="Footer"/>
          <w:jc w:val="right"/>
        </w:pPr>
        <w:r>
          <w:fldChar w:fldCharType="begin"/>
        </w:r>
        <w:r>
          <w:instrText xml:space="preserve"> PAGE   \* MERGEFORMAT </w:instrText>
        </w:r>
        <w:r>
          <w:fldChar w:fldCharType="separate"/>
        </w:r>
        <w:r w:rsidR="008A5EE6">
          <w:rPr>
            <w:noProof/>
          </w:rPr>
          <w:t>1</w:t>
        </w:r>
        <w:r>
          <w:rPr>
            <w:noProof/>
          </w:rPr>
          <w:fldChar w:fldCharType="end"/>
        </w:r>
      </w:p>
    </w:sdtContent>
  </w:sdt>
  <w:p w:rsidR="00EE2785" w:rsidRDefault="00EE2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B3" w:rsidRDefault="00685DB3" w:rsidP="00EE2785">
      <w:pPr>
        <w:spacing w:after="0"/>
      </w:pPr>
      <w:r>
        <w:separator/>
      </w:r>
    </w:p>
  </w:footnote>
  <w:footnote w:type="continuationSeparator" w:id="0">
    <w:p w:rsidR="00685DB3" w:rsidRDefault="00685DB3" w:rsidP="00EE27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B7D2C"/>
    <w:multiLevelType w:val="multilevel"/>
    <w:tmpl w:val="EF6A4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8FD03F8"/>
    <w:multiLevelType w:val="hybridMultilevel"/>
    <w:tmpl w:val="2982DA08"/>
    <w:lvl w:ilvl="0" w:tplc="C0B43052">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D3E62"/>
    <w:multiLevelType w:val="hybridMultilevel"/>
    <w:tmpl w:val="BCE89E64"/>
    <w:lvl w:ilvl="0" w:tplc="19F0617E">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5F"/>
    <w:rsid w:val="00095EEC"/>
    <w:rsid w:val="00116BED"/>
    <w:rsid w:val="001A3B89"/>
    <w:rsid w:val="001A5D3C"/>
    <w:rsid w:val="001B09EA"/>
    <w:rsid w:val="00222AF1"/>
    <w:rsid w:val="002319B7"/>
    <w:rsid w:val="0024522C"/>
    <w:rsid w:val="003425AD"/>
    <w:rsid w:val="00354041"/>
    <w:rsid w:val="003936A9"/>
    <w:rsid w:val="00471208"/>
    <w:rsid w:val="00477310"/>
    <w:rsid w:val="004D010B"/>
    <w:rsid w:val="005A0394"/>
    <w:rsid w:val="0063145F"/>
    <w:rsid w:val="0063157B"/>
    <w:rsid w:val="00685DB3"/>
    <w:rsid w:val="006B1C10"/>
    <w:rsid w:val="007C52B1"/>
    <w:rsid w:val="007D2FD6"/>
    <w:rsid w:val="00807E0E"/>
    <w:rsid w:val="00882E62"/>
    <w:rsid w:val="008A5EE6"/>
    <w:rsid w:val="009B0262"/>
    <w:rsid w:val="00A244AD"/>
    <w:rsid w:val="00A3465B"/>
    <w:rsid w:val="00A42217"/>
    <w:rsid w:val="00A934E7"/>
    <w:rsid w:val="00AD2369"/>
    <w:rsid w:val="00B37789"/>
    <w:rsid w:val="00C00139"/>
    <w:rsid w:val="00D33CB7"/>
    <w:rsid w:val="00D34C2A"/>
    <w:rsid w:val="00D41BA4"/>
    <w:rsid w:val="00EE2785"/>
    <w:rsid w:val="00FA42A3"/>
    <w:rsid w:val="00FF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1E7C-C872-4DB5-BF8E-2C1E865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5F"/>
    <w:pPr>
      <w:ind w:left="720"/>
      <w:contextualSpacing/>
    </w:pPr>
  </w:style>
  <w:style w:type="table" w:styleId="TableGrid">
    <w:name w:val="Table Grid"/>
    <w:basedOn w:val="TableNormal"/>
    <w:uiPriority w:val="39"/>
    <w:rsid w:val="00B377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27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85"/>
    <w:rPr>
      <w:rFonts w:ascii="Segoe UI" w:hAnsi="Segoe UI" w:cs="Segoe UI"/>
      <w:sz w:val="18"/>
      <w:szCs w:val="18"/>
    </w:rPr>
  </w:style>
  <w:style w:type="paragraph" w:styleId="Header">
    <w:name w:val="header"/>
    <w:basedOn w:val="Normal"/>
    <w:link w:val="HeaderChar"/>
    <w:uiPriority w:val="99"/>
    <w:unhideWhenUsed/>
    <w:rsid w:val="00EE2785"/>
    <w:pPr>
      <w:tabs>
        <w:tab w:val="center" w:pos="4680"/>
        <w:tab w:val="right" w:pos="9360"/>
      </w:tabs>
      <w:spacing w:after="0"/>
    </w:pPr>
  </w:style>
  <w:style w:type="character" w:customStyle="1" w:styleId="HeaderChar">
    <w:name w:val="Header Char"/>
    <w:basedOn w:val="DefaultParagraphFont"/>
    <w:link w:val="Header"/>
    <w:uiPriority w:val="99"/>
    <w:rsid w:val="00EE2785"/>
  </w:style>
  <w:style w:type="paragraph" w:styleId="Footer">
    <w:name w:val="footer"/>
    <w:basedOn w:val="Normal"/>
    <w:link w:val="FooterChar"/>
    <w:uiPriority w:val="99"/>
    <w:unhideWhenUsed/>
    <w:rsid w:val="00EE2785"/>
    <w:pPr>
      <w:tabs>
        <w:tab w:val="center" w:pos="4680"/>
        <w:tab w:val="right" w:pos="9360"/>
      </w:tabs>
      <w:spacing w:after="0"/>
    </w:pPr>
  </w:style>
  <w:style w:type="character" w:customStyle="1" w:styleId="FooterChar">
    <w:name w:val="Footer Char"/>
    <w:basedOn w:val="DefaultParagraphFont"/>
    <w:link w:val="Footer"/>
    <w:uiPriority w:val="99"/>
    <w:rsid w:val="00EE2785"/>
  </w:style>
  <w:style w:type="paragraph" w:styleId="BodyText">
    <w:name w:val="Body Text"/>
    <w:basedOn w:val="Normal"/>
    <w:link w:val="BodyTextChar"/>
    <w:uiPriority w:val="99"/>
    <w:semiHidden/>
    <w:unhideWhenUsed/>
    <w:rsid w:val="0063157B"/>
    <w:pPr>
      <w:spacing w:after="120"/>
    </w:pPr>
  </w:style>
  <w:style w:type="character" w:customStyle="1" w:styleId="BodyTextChar">
    <w:name w:val="Body Text Char"/>
    <w:basedOn w:val="DefaultParagraphFont"/>
    <w:link w:val="BodyText"/>
    <w:uiPriority w:val="99"/>
    <w:semiHidden/>
    <w:rsid w:val="0063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Cohen</dc:creator>
  <cp:keywords/>
  <dc:description/>
  <cp:lastModifiedBy>Rob Robinson</cp:lastModifiedBy>
  <cp:revision>2</cp:revision>
  <cp:lastPrinted>2015-04-29T14:06:00Z</cp:lastPrinted>
  <dcterms:created xsi:type="dcterms:W3CDTF">2020-11-24T15:40:00Z</dcterms:created>
  <dcterms:modified xsi:type="dcterms:W3CDTF">2020-11-24T15:40:00Z</dcterms:modified>
</cp:coreProperties>
</file>